
<file path=[Content_Types].xml><?xml version="1.0" encoding="utf-8"?>
<Types xmlns="http://schemas.openxmlformats.org/package/2006/content-types">
  <Default Extension="xml" ContentType="application/xml"/>
  <Default Extension="tiff" ContentType="image/tiff"/>
  <Default Extension="png" ContentType="image/png"/>
  <Default Extension="wdp" ContentType="image/vnd.ms-photo"/>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22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9BB83E">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FF80D4C">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93.080.20</w:t>
            </w:r>
            <w:r>
              <w:rPr>
                <w:rFonts w:ascii="黑体" w:hAnsi="黑体" w:eastAsia="黑体"/>
                <w:sz w:val="21"/>
                <w:szCs w:val="21"/>
              </w:rPr>
              <w:fldChar w:fldCharType="end"/>
            </w:r>
            <w:bookmarkEnd w:id="0"/>
          </w:p>
        </w:tc>
      </w:tr>
      <w:tr w14:paraId="4FBD3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69B60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77A092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66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F658D0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865AB33">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55E04D03">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8F75584">
      <w:pPr>
        <w:pStyle w:val="197"/>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1</w:t>
      </w:r>
      <w:r>
        <w:rPr>
          <w:rFonts w:hint="eastAsia"/>
        </w:rPr>
        <w:t>161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025</w:t>
      </w:r>
      <w:r>
        <w:fldChar w:fldCharType="end"/>
      </w:r>
      <w:bookmarkEnd w:id="7"/>
    </w:p>
    <w:p w14:paraId="6398723B">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代替DB37/T 1161—2009</w:t>
      </w:r>
      <w:r>
        <w:rPr>
          <w:rFonts w:hAnsi="黑体"/>
        </w:rPr>
        <w:fldChar w:fldCharType="end"/>
      </w:r>
      <w:bookmarkEnd w:id="8"/>
    </w:p>
    <w:p w14:paraId="6A6333FF">
      <w:pPr>
        <w:spacing w:line="240" w:lineRule="auto"/>
        <w:rPr>
          <w:rFonts w:ascii="黑体" w:hAnsi="黑体" w:eastAsia="黑体"/>
          <w:kern w:val="0"/>
          <w:sz w:val="10"/>
          <w:szCs w:val="10"/>
        </w:rPr>
      </w:pPr>
      <w:r>
        <w:rPr>
          <w:rFonts w:hint="eastAsia"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1"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14:paraId="7ACEB36C">
      <w:pPr>
        <w:pStyle w:val="52"/>
        <w:framePr w:w="9639" w:h="6976" w:hRule="exact" w:hSpace="0" w:vSpace="0" w:wrap="around" w:hAnchor="page" w:y="6408"/>
        <w:jc w:val="center"/>
        <w:rPr>
          <w:rFonts w:ascii="黑体" w:hAnsi="黑体" w:eastAsia="黑体"/>
          <w:b w:val="0"/>
          <w:bCs w:val="0"/>
          <w:w w:val="100"/>
        </w:rPr>
      </w:pPr>
    </w:p>
    <w:p w14:paraId="66C624C0">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大粒径透水性沥青混合料施工技术规范</w:t>
      </w:r>
      <w:r>
        <w:fldChar w:fldCharType="end"/>
      </w:r>
      <w:bookmarkEnd w:id="9"/>
    </w:p>
    <w:p w14:paraId="5A7CD6F4">
      <w:pPr>
        <w:framePr w:w="9639" w:h="6974" w:hRule="exact" w:wrap="around" w:vAnchor="page" w:hAnchor="page" w:x="1419" w:y="6408" w:anchorLock="1"/>
        <w:ind w:left="-1418"/>
      </w:pPr>
    </w:p>
    <w:p w14:paraId="024F3C7D">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specifications for construction of large stone porous asphalt mixtures</w:t>
      </w:r>
      <w:r>
        <w:rPr>
          <w:rFonts w:eastAsia="黑体"/>
          <w:szCs w:val="28"/>
        </w:rPr>
        <w:fldChar w:fldCharType="end"/>
      </w:r>
      <w:bookmarkEnd w:id="10"/>
    </w:p>
    <w:p w14:paraId="34D045D4">
      <w:pPr>
        <w:framePr w:w="9639" w:h="6974" w:hRule="exact" w:wrap="around" w:vAnchor="page" w:hAnchor="page" w:x="1419" w:y="6408" w:anchorLock="1"/>
        <w:spacing w:line="760" w:lineRule="exact"/>
        <w:ind w:left="-1418"/>
      </w:pPr>
    </w:p>
    <w:p w14:paraId="35139542">
      <w:pPr>
        <w:pStyle w:val="127"/>
        <w:framePr w:w="9639" w:h="6974" w:hRule="exact" w:wrap="around" w:vAnchor="page" w:hAnchor="page" w:x="1419" w:y="6408" w:anchorLock="1"/>
        <w:textAlignment w:val="bottom"/>
        <w:rPr>
          <w:rFonts w:eastAsia="黑体"/>
          <w:szCs w:val="28"/>
        </w:rPr>
      </w:pPr>
    </w:p>
    <w:p w14:paraId="4B51DB25">
      <w:pPr>
        <w:pStyle w:val="127"/>
        <w:framePr w:w="9639" w:h="6974" w:hRule="exact" w:wrap="around" w:vAnchor="page" w:hAnchor="page" w:x="1419" w:y="6408" w:anchorLock="1"/>
        <w:spacing w:before="440" w:after="160"/>
        <w:textAlignment w:val="bottom"/>
        <w:rPr>
          <w:sz w:val="24"/>
          <w:szCs w:val="28"/>
        </w:rPr>
      </w:pPr>
    </w:p>
    <w:p w14:paraId="1E50EFF0">
      <w:pPr>
        <w:pStyle w:val="127"/>
        <w:framePr w:w="9639" w:h="6974" w:hRule="exact" w:wrap="around" w:vAnchor="page" w:hAnchor="page" w:x="1419" w:y="6408" w:anchorLock="1"/>
        <w:spacing w:before="180" w:line="240" w:lineRule="atLeast"/>
        <w:textAlignment w:val="bottom"/>
        <w:rPr>
          <w:sz w:val="21"/>
          <w:szCs w:val="28"/>
        </w:rPr>
      </w:pPr>
    </w:p>
    <w:p w14:paraId="22118755">
      <w:pPr>
        <w:pStyle w:val="127"/>
        <w:framePr w:w="9639" w:h="6974" w:hRule="exact" w:wrap="around" w:vAnchor="page" w:hAnchor="page" w:x="1419" w:y="6408" w:anchorLock="1"/>
        <w:spacing w:before="720" w:beforeLines="300" w:after="72" w:afterLines="30" w:line="240" w:lineRule="auto"/>
        <w:textAlignment w:val="bottom"/>
        <w:rPr>
          <w:b/>
          <w:sz w:val="21"/>
          <w:szCs w:val="28"/>
        </w:rPr>
      </w:pPr>
    </w:p>
    <w:p w14:paraId="158183C0">
      <w:pPr>
        <w:pStyle w:val="195"/>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eastAsia" w:ascii="黑体"/>
        </w:rPr>
        <w:t>07</w:t>
      </w:r>
      <w:r>
        <w:rPr>
          <w:rFonts w:ascii="黑体"/>
        </w:rPr>
        <w:fldChar w:fldCharType="end"/>
      </w:r>
      <w:bookmarkEnd w:id="12"/>
      <w:r>
        <w:t xml:space="preserve"> </w:t>
      </w:r>
      <w:r>
        <w:rPr>
          <w:rFonts w:ascii="黑体"/>
        </w:rPr>
        <w:t>-</w:t>
      </w:r>
      <w:r>
        <w:t xml:space="preserve"> </w:t>
      </w:r>
      <w:r>
        <w:rPr>
          <w:rFonts w:hint="eastAsia" w:ascii="黑体"/>
          <w:lang w:val="en-US" w:eastAsia="zh-CN"/>
        </w:rPr>
        <w:t>29</w:t>
      </w:r>
      <w:r>
        <w:rPr>
          <w:rFonts w:hint="eastAsia"/>
        </w:rPr>
        <w:t>发布</w:t>
      </w:r>
    </w:p>
    <w:p w14:paraId="24A8153F">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hint="eastAsia" w:ascii="黑体"/>
        </w:rPr>
        <w:t>08</w:t>
      </w:r>
      <w:r>
        <w:rPr>
          <w:rFonts w:ascii="黑体"/>
        </w:rPr>
        <w:fldChar w:fldCharType="end"/>
      </w:r>
      <w:bookmarkEnd w:id="14"/>
      <w:r>
        <w:t xml:space="preserve"> </w:t>
      </w:r>
      <w:r>
        <w:rPr>
          <w:rFonts w:ascii="黑体"/>
        </w:rPr>
        <w:t>-</w:t>
      </w:r>
      <w:r>
        <w:t xml:space="preserve"> </w:t>
      </w:r>
      <w:r>
        <w:rPr>
          <w:rFonts w:hint="eastAsia" w:ascii="黑体"/>
          <w:lang w:val="en-US" w:eastAsia="zh-CN"/>
        </w:rPr>
        <w:t>29</w:t>
      </w:r>
      <w:bookmarkStart w:id="273" w:name="_GoBack"/>
      <w:bookmarkEnd w:id="273"/>
      <w:r>
        <w:rPr>
          <w:rFonts w:hint="eastAsia"/>
        </w:rPr>
        <w:t>实施</w:t>
      </w:r>
    </w:p>
    <w:p w14:paraId="5F43EA13">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w:t>
      </w:r>
      <w:r>
        <w:rPr>
          <w:rFonts w:hAnsi="黑体"/>
          <w:w w:val="100"/>
          <w:sz w:val="28"/>
        </w:rPr>
        <w:t>市场监督管理局</w:t>
      </w:r>
      <w:r>
        <w:rPr>
          <w:rFonts w:hAnsi="黑体"/>
          <w:w w:val="100"/>
          <w:sz w:val="28"/>
        </w:rPr>
        <w:fldChar w:fldCharType="end"/>
      </w:r>
      <w:bookmarkEnd w:id="15"/>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4B77D31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14:paraId="4EE9DA51">
      <w:pPr>
        <w:pStyle w:val="93"/>
        <w:spacing w:after="468"/>
      </w:pPr>
      <w:bookmarkStart w:id="16" w:name="BookMark1"/>
      <w:bookmarkStart w:id="17" w:name="_Toc198816966"/>
      <w:bookmarkStart w:id="18" w:name="_Toc198815883"/>
      <w:bookmarkStart w:id="19" w:name="_Toc169703775"/>
      <w:bookmarkStart w:id="20" w:name="_Toc195012996"/>
      <w:bookmarkStart w:id="21" w:name="_Toc198802211"/>
      <w:bookmarkStart w:id="22" w:name="_Toc169879595"/>
      <w:r>
        <w:rPr>
          <w:rFonts w:hint="eastAsia"/>
          <w:spacing w:val="320"/>
        </w:rPr>
        <w:t>目</w:t>
      </w:r>
      <w:r>
        <w:rPr>
          <w:rFonts w:hint="eastAsia"/>
        </w:rPr>
        <w:t>次</w:t>
      </w:r>
    </w:p>
    <w:p w14:paraId="7C6941C5">
      <w:pPr>
        <w:pStyle w:val="20"/>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"_Toc199251462" </w:instrText>
      </w:r>
      <w:r>
        <w:fldChar w:fldCharType="separate"/>
      </w:r>
      <w:r>
        <w:rPr>
          <w:rStyle w:val="33"/>
        </w:rPr>
        <w:t>前言</w:t>
      </w:r>
      <w:r>
        <w:tab/>
      </w:r>
      <w:r>
        <w:fldChar w:fldCharType="begin"/>
      </w:r>
      <w:r>
        <w:instrText xml:space="preserve"> PAGEREF _Toc199251462 \h </w:instrText>
      </w:r>
      <w:r>
        <w:fldChar w:fldCharType="separate"/>
      </w:r>
      <w:r>
        <w:t>II</w:t>
      </w:r>
      <w:r>
        <w:fldChar w:fldCharType="end"/>
      </w:r>
      <w:r>
        <w:fldChar w:fldCharType="end"/>
      </w:r>
    </w:p>
    <w:p w14:paraId="6D0D156E">
      <w:pPr>
        <w:pStyle w:val="20"/>
        <w:rPr>
          <w:rFonts w:asciiTheme="minorHAnsi" w:hAnsiTheme="minorHAnsi" w:eastAsiaTheme="minorEastAsia" w:cstheme="minorBidi"/>
          <w:szCs w:val="22"/>
        </w:rPr>
      </w:pPr>
      <w:r>
        <w:fldChar w:fldCharType="begin"/>
      </w:r>
      <w:r>
        <w:instrText xml:space="preserve"> HYPERLINK \l "_Toc199251463" </w:instrText>
      </w:r>
      <w:r>
        <w:fldChar w:fldCharType="separate"/>
      </w:r>
      <w:r>
        <w:rPr>
          <w:rStyle w:val="33"/>
        </w:rPr>
        <w:t>1  范围</w:t>
      </w:r>
      <w:r>
        <w:tab/>
      </w:r>
      <w:r>
        <w:fldChar w:fldCharType="begin"/>
      </w:r>
      <w:r>
        <w:instrText xml:space="preserve"> PAGEREF _Toc199251463 \h </w:instrText>
      </w:r>
      <w:r>
        <w:fldChar w:fldCharType="separate"/>
      </w:r>
      <w:r>
        <w:t>1</w:t>
      </w:r>
      <w:r>
        <w:fldChar w:fldCharType="end"/>
      </w:r>
      <w:r>
        <w:fldChar w:fldCharType="end"/>
      </w:r>
    </w:p>
    <w:p w14:paraId="29FC0856">
      <w:pPr>
        <w:pStyle w:val="20"/>
        <w:rPr>
          <w:rFonts w:asciiTheme="minorHAnsi" w:hAnsiTheme="minorHAnsi" w:eastAsiaTheme="minorEastAsia" w:cstheme="minorBidi"/>
          <w:szCs w:val="22"/>
        </w:rPr>
      </w:pPr>
      <w:r>
        <w:fldChar w:fldCharType="begin"/>
      </w:r>
      <w:r>
        <w:instrText xml:space="preserve"> HYPERLINK \l "_Toc199251464" </w:instrText>
      </w:r>
      <w:r>
        <w:fldChar w:fldCharType="separate"/>
      </w:r>
      <w:r>
        <w:rPr>
          <w:rStyle w:val="33"/>
        </w:rPr>
        <w:t>2  规范性引用文件</w:t>
      </w:r>
      <w:r>
        <w:tab/>
      </w:r>
      <w:r>
        <w:fldChar w:fldCharType="begin"/>
      </w:r>
      <w:r>
        <w:instrText xml:space="preserve"> PAGEREF _Toc199251464 \h </w:instrText>
      </w:r>
      <w:r>
        <w:fldChar w:fldCharType="separate"/>
      </w:r>
      <w:r>
        <w:t>1</w:t>
      </w:r>
      <w:r>
        <w:fldChar w:fldCharType="end"/>
      </w:r>
      <w:r>
        <w:fldChar w:fldCharType="end"/>
      </w:r>
    </w:p>
    <w:p w14:paraId="44D889F5">
      <w:pPr>
        <w:pStyle w:val="20"/>
        <w:rPr>
          <w:rFonts w:asciiTheme="minorHAnsi" w:hAnsiTheme="minorHAnsi" w:eastAsiaTheme="minorEastAsia" w:cstheme="minorBidi"/>
          <w:szCs w:val="22"/>
        </w:rPr>
      </w:pPr>
      <w:r>
        <w:fldChar w:fldCharType="begin"/>
      </w:r>
      <w:r>
        <w:instrText xml:space="preserve"> HYPERLINK \l "_Toc199251465" </w:instrText>
      </w:r>
      <w:r>
        <w:fldChar w:fldCharType="separate"/>
      </w:r>
      <w:r>
        <w:rPr>
          <w:rStyle w:val="33"/>
        </w:rPr>
        <w:t>3  术语和定义</w:t>
      </w:r>
      <w:r>
        <w:tab/>
      </w:r>
      <w:r>
        <w:fldChar w:fldCharType="begin"/>
      </w:r>
      <w:r>
        <w:instrText xml:space="preserve"> PAGEREF _Toc199251465 \h </w:instrText>
      </w:r>
      <w:r>
        <w:fldChar w:fldCharType="separate"/>
      </w:r>
      <w:r>
        <w:t>1</w:t>
      </w:r>
      <w:r>
        <w:fldChar w:fldCharType="end"/>
      </w:r>
      <w:r>
        <w:fldChar w:fldCharType="end"/>
      </w:r>
    </w:p>
    <w:p w14:paraId="4231571E">
      <w:pPr>
        <w:pStyle w:val="20"/>
        <w:rPr>
          <w:rFonts w:asciiTheme="minorHAnsi" w:hAnsiTheme="minorHAnsi" w:eastAsiaTheme="minorEastAsia" w:cstheme="minorBidi"/>
          <w:szCs w:val="22"/>
        </w:rPr>
      </w:pPr>
      <w:r>
        <w:fldChar w:fldCharType="begin"/>
      </w:r>
      <w:r>
        <w:instrText xml:space="preserve"> HYPERLINK \l "_Toc199251466" </w:instrText>
      </w:r>
      <w:r>
        <w:fldChar w:fldCharType="separate"/>
      </w:r>
      <w:r>
        <w:rPr>
          <w:rStyle w:val="33"/>
        </w:rPr>
        <w:t>4  材料</w:t>
      </w:r>
      <w:r>
        <w:tab/>
      </w:r>
      <w:r>
        <w:fldChar w:fldCharType="begin"/>
      </w:r>
      <w:r>
        <w:instrText xml:space="preserve"> PAGEREF _Toc199251466 \h </w:instrText>
      </w:r>
      <w:r>
        <w:fldChar w:fldCharType="separate"/>
      </w:r>
      <w:r>
        <w:t>1</w:t>
      </w:r>
      <w:r>
        <w:fldChar w:fldCharType="end"/>
      </w:r>
      <w:r>
        <w:fldChar w:fldCharType="end"/>
      </w:r>
    </w:p>
    <w:p w14:paraId="79E7EEF0">
      <w:pPr>
        <w:pStyle w:val="25"/>
        <w:rPr>
          <w:rFonts w:asciiTheme="minorHAnsi" w:hAnsiTheme="minorHAnsi" w:eastAsiaTheme="minorEastAsia" w:cstheme="minorBidi"/>
          <w:szCs w:val="22"/>
        </w:rPr>
      </w:pPr>
      <w:r>
        <w:fldChar w:fldCharType="begin"/>
      </w:r>
      <w:r>
        <w:instrText xml:space="preserve"> HYPERLINK \l "_Toc199251467" </w:instrText>
      </w:r>
      <w:r>
        <w:fldChar w:fldCharType="separate"/>
      </w:r>
      <w:r>
        <w:rPr>
          <w:rStyle w:val="33"/>
        </w:rPr>
        <w:t>4.1  通则</w:t>
      </w:r>
      <w:r>
        <w:tab/>
      </w:r>
      <w:r>
        <w:fldChar w:fldCharType="begin"/>
      </w:r>
      <w:r>
        <w:instrText xml:space="preserve"> PAGEREF _Toc199251467 \h </w:instrText>
      </w:r>
      <w:r>
        <w:fldChar w:fldCharType="separate"/>
      </w:r>
      <w:r>
        <w:t>2</w:t>
      </w:r>
      <w:r>
        <w:fldChar w:fldCharType="end"/>
      </w:r>
      <w:r>
        <w:fldChar w:fldCharType="end"/>
      </w:r>
    </w:p>
    <w:p w14:paraId="51C6739C">
      <w:pPr>
        <w:pStyle w:val="25"/>
        <w:rPr>
          <w:rFonts w:asciiTheme="minorHAnsi" w:hAnsiTheme="minorHAnsi" w:eastAsiaTheme="minorEastAsia" w:cstheme="minorBidi"/>
          <w:szCs w:val="22"/>
        </w:rPr>
      </w:pPr>
      <w:r>
        <w:fldChar w:fldCharType="begin"/>
      </w:r>
      <w:r>
        <w:instrText xml:space="preserve"> HYPERLINK \l "_Toc199251468" </w:instrText>
      </w:r>
      <w:r>
        <w:fldChar w:fldCharType="separate"/>
      </w:r>
      <w:r>
        <w:rPr>
          <w:rStyle w:val="33"/>
        </w:rPr>
        <w:t>4.2  沥青胶结料</w:t>
      </w:r>
      <w:r>
        <w:tab/>
      </w:r>
      <w:r>
        <w:fldChar w:fldCharType="begin"/>
      </w:r>
      <w:r>
        <w:instrText xml:space="preserve"> PAGEREF _Toc199251468 \h </w:instrText>
      </w:r>
      <w:r>
        <w:fldChar w:fldCharType="separate"/>
      </w:r>
      <w:r>
        <w:t>2</w:t>
      </w:r>
      <w:r>
        <w:fldChar w:fldCharType="end"/>
      </w:r>
      <w:r>
        <w:fldChar w:fldCharType="end"/>
      </w:r>
    </w:p>
    <w:p w14:paraId="454DFC6A">
      <w:pPr>
        <w:pStyle w:val="25"/>
        <w:rPr>
          <w:rFonts w:asciiTheme="minorHAnsi" w:hAnsiTheme="minorHAnsi" w:eastAsiaTheme="minorEastAsia" w:cstheme="minorBidi"/>
          <w:szCs w:val="22"/>
        </w:rPr>
      </w:pPr>
      <w:r>
        <w:fldChar w:fldCharType="begin"/>
      </w:r>
      <w:r>
        <w:instrText xml:space="preserve"> HYPERLINK \l "_Toc199251469" </w:instrText>
      </w:r>
      <w:r>
        <w:fldChar w:fldCharType="separate"/>
      </w:r>
      <w:r>
        <w:rPr>
          <w:rStyle w:val="33"/>
        </w:rPr>
        <w:t>4.3  粗集料</w:t>
      </w:r>
      <w:r>
        <w:tab/>
      </w:r>
      <w:r>
        <w:fldChar w:fldCharType="begin"/>
      </w:r>
      <w:r>
        <w:instrText xml:space="preserve"> PAGEREF _Toc199251469 \h </w:instrText>
      </w:r>
      <w:r>
        <w:fldChar w:fldCharType="separate"/>
      </w:r>
      <w:r>
        <w:t>2</w:t>
      </w:r>
      <w:r>
        <w:fldChar w:fldCharType="end"/>
      </w:r>
      <w:r>
        <w:fldChar w:fldCharType="end"/>
      </w:r>
    </w:p>
    <w:p w14:paraId="5BD9590E">
      <w:pPr>
        <w:pStyle w:val="25"/>
        <w:rPr>
          <w:rFonts w:asciiTheme="minorHAnsi" w:hAnsiTheme="minorHAnsi" w:eastAsiaTheme="minorEastAsia" w:cstheme="minorBidi"/>
          <w:szCs w:val="22"/>
        </w:rPr>
      </w:pPr>
      <w:r>
        <w:fldChar w:fldCharType="begin"/>
      </w:r>
      <w:r>
        <w:instrText xml:space="preserve"> HYPERLINK \l "_Toc199251470" </w:instrText>
      </w:r>
      <w:r>
        <w:fldChar w:fldCharType="separate"/>
      </w:r>
      <w:r>
        <w:rPr>
          <w:rStyle w:val="33"/>
        </w:rPr>
        <w:t>4.4  细集料</w:t>
      </w:r>
      <w:r>
        <w:tab/>
      </w:r>
      <w:r>
        <w:fldChar w:fldCharType="begin"/>
      </w:r>
      <w:r>
        <w:instrText xml:space="preserve"> PAGEREF _Toc199251470 \h </w:instrText>
      </w:r>
      <w:r>
        <w:fldChar w:fldCharType="separate"/>
      </w:r>
      <w:r>
        <w:t>3</w:t>
      </w:r>
      <w:r>
        <w:fldChar w:fldCharType="end"/>
      </w:r>
      <w:r>
        <w:fldChar w:fldCharType="end"/>
      </w:r>
    </w:p>
    <w:p w14:paraId="3C3A532A">
      <w:pPr>
        <w:pStyle w:val="25"/>
        <w:rPr>
          <w:rFonts w:asciiTheme="minorHAnsi" w:hAnsiTheme="minorHAnsi" w:eastAsiaTheme="minorEastAsia" w:cstheme="minorBidi"/>
          <w:szCs w:val="22"/>
        </w:rPr>
      </w:pPr>
      <w:r>
        <w:fldChar w:fldCharType="begin"/>
      </w:r>
      <w:r>
        <w:instrText xml:space="preserve"> HYPERLINK \l "_Toc199251471" </w:instrText>
      </w:r>
      <w:r>
        <w:fldChar w:fldCharType="separate"/>
      </w:r>
      <w:r>
        <w:rPr>
          <w:rStyle w:val="33"/>
        </w:rPr>
        <w:t>4.5  填料</w:t>
      </w:r>
      <w:r>
        <w:tab/>
      </w:r>
      <w:r>
        <w:fldChar w:fldCharType="begin"/>
      </w:r>
      <w:r>
        <w:instrText xml:space="preserve"> PAGEREF _Toc199251471 \h </w:instrText>
      </w:r>
      <w:r>
        <w:fldChar w:fldCharType="separate"/>
      </w:r>
      <w:r>
        <w:t>4</w:t>
      </w:r>
      <w:r>
        <w:fldChar w:fldCharType="end"/>
      </w:r>
      <w:r>
        <w:fldChar w:fldCharType="end"/>
      </w:r>
    </w:p>
    <w:p w14:paraId="24954D5F">
      <w:pPr>
        <w:pStyle w:val="25"/>
        <w:rPr>
          <w:rFonts w:asciiTheme="minorHAnsi" w:hAnsiTheme="minorHAnsi" w:eastAsiaTheme="minorEastAsia" w:cstheme="minorBidi"/>
          <w:szCs w:val="22"/>
        </w:rPr>
      </w:pPr>
      <w:r>
        <w:fldChar w:fldCharType="begin"/>
      </w:r>
      <w:r>
        <w:instrText xml:space="preserve"> HYPERLINK \l "_Toc199251472" </w:instrText>
      </w:r>
      <w:r>
        <w:fldChar w:fldCharType="separate"/>
      </w:r>
      <w:r>
        <w:rPr>
          <w:rStyle w:val="33"/>
        </w:rPr>
        <w:t>4.6  纤维</w:t>
      </w:r>
      <w:r>
        <w:tab/>
      </w:r>
      <w:r>
        <w:fldChar w:fldCharType="begin"/>
      </w:r>
      <w:r>
        <w:instrText xml:space="preserve"> PAGEREF _Toc199251472 \h </w:instrText>
      </w:r>
      <w:r>
        <w:fldChar w:fldCharType="separate"/>
      </w:r>
      <w:r>
        <w:t>4</w:t>
      </w:r>
      <w:r>
        <w:fldChar w:fldCharType="end"/>
      </w:r>
      <w:r>
        <w:fldChar w:fldCharType="end"/>
      </w:r>
    </w:p>
    <w:p w14:paraId="0EC60A8F">
      <w:pPr>
        <w:pStyle w:val="20"/>
        <w:rPr>
          <w:rFonts w:asciiTheme="minorHAnsi" w:hAnsiTheme="minorHAnsi" w:eastAsiaTheme="minorEastAsia" w:cstheme="minorBidi"/>
          <w:szCs w:val="22"/>
        </w:rPr>
      </w:pPr>
      <w:r>
        <w:fldChar w:fldCharType="begin"/>
      </w:r>
      <w:r>
        <w:instrText xml:space="preserve"> HYPERLINK \l "_Toc199251473" </w:instrText>
      </w:r>
      <w:r>
        <w:fldChar w:fldCharType="separate"/>
      </w:r>
      <w:r>
        <w:rPr>
          <w:rStyle w:val="33"/>
        </w:rPr>
        <w:t>5  混合料设计</w:t>
      </w:r>
      <w:r>
        <w:tab/>
      </w:r>
      <w:r>
        <w:fldChar w:fldCharType="begin"/>
      </w:r>
      <w:r>
        <w:instrText xml:space="preserve"> PAGEREF _Toc199251473 \h </w:instrText>
      </w:r>
      <w:r>
        <w:fldChar w:fldCharType="separate"/>
      </w:r>
      <w:r>
        <w:t>4</w:t>
      </w:r>
      <w:r>
        <w:fldChar w:fldCharType="end"/>
      </w:r>
      <w:r>
        <w:fldChar w:fldCharType="end"/>
      </w:r>
    </w:p>
    <w:p w14:paraId="5E8FC9A4">
      <w:pPr>
        <w:pStyle w:val="25"/>
        <w:rPr>
          <w:rFonts w:asciiTheme="minorHAnsi" w:hAnsiTheme="minorHAnsi" w:eastAsiaTheme="minorEastAsia" w:cstheme="minorBidi"/>
          <w:szCs w:val="22"/>
        </w:rPr>
      </w:pPr>
      <w:r>
        <w:fldChar w:fldCharType="begin"/>
      </w:r>
      <w:r>
        <w:instrText xml:space="preserve"> HYPERLINK \l "_Toc199251474" </w:instrText>
      </w:r>
      <w:r>
        <w:fldChar w:fldCharType="separate"/>
      </w:r>
      <w:r>
        <w:rPr>
          <w:rStyle w:val="33"/>
        </w:rPr>
        <w:t>5.1  通则</w:t>
      </w:r>
      <w:r>
        <w:tab/>
      </w:r>
      <w:r>
        <w:fldChar w:fldCharType="begin"/>
      </w:r>
      <w:r>
        <w:instrText xml:space="preserve"> PAGEREF _Toc199251474 \h </w:instrText>
      </w:r>
      <w:r>
        <w:fldChar w:fldCharType="separate"/>
      </w:r>
      <w:r>
        <w:t>4</w:t>
      </w:r>
      <w:r>
        <w:fldChar w:fldCharType="end"/>
      </w:r>
      <w:r>
        <w:fldChar w:fldCharType="end"/>
      </w:r>
    </w:p>
    <w:p w14:paraId="4D379389">
      <w:pPr>
        <w:pStyle w:val="25"/>
        <w:rPr>
          <w:rFonts w:asciiTheme="minorHAnsi" w:hAnsiTheme="minorHAnsi" w:eastAsiaTheme="minorEastAsia" w:cstheme="minorBidi"/>
          <w:szCs w:val="22"/>
        </w:rPr>
      </w:pPr>
      <w:r>
        <w:fldChar w:fldCharType="begin"/>
      </w:r>
      <w:r>
        <w:instrText xml:space="preserve"> HYPERLINK \l "_Toc199251475" </w:instrText>
      </w:r>
      <w:r>
        <w:fldChar w:fldCharType="separate"/>
      </w:r>
      <w:r>
        <w:rPr>
          <w:rStyle w:val="33"/>
        </w:rPr>
        <w:t>5.2  矿料级配设计</w:t>
      </w:r>
      <w:r>
        <w:tab/>
      </w:r>
      <w:r>
        <w:fldChar w:fldCharType="begin"/>
      </w:r>
      <w:r>
        <w:instrText xml:space="preserve"> PAGEREF _Toc199251475 \h </w:instrText>
      </w:r>
      <w:r>
        <w:fldChar w:fldCharType="separate"/>
      </w:r>
      <w:r>
        <w:t>4</w:t>
      </w:r>
      <w:r>
        <w:fldChar w:fldCharType="end"/>
      </w:r>
      <w:r>
        <w:fldChar w:fldCharType="end"/>
      </w:r>
    </w:p>
    <w:p w14:paraId="6823CB61">
      <w:pPr>
        <w:pStyle w:val="25"/>
        <w:rPr>
          <w:rFonts w:asciiTheme="minorHAnsi" w:hAnsiTheme="minorHAnsi" w:eastAsiaTheme="minorEastAsia" w:cstheme="minorBidi"/>
          <w:szCs w:val="22"/>
        </w:rPr>
      </w:pPr>
      <w:r>
        <w:fldChar w:fldCharType="begin"/>
      </w:r>
      <w:r>
        <w:instrText xml:space="preserve"> HYPERLINK \l "_Toc199251476" </w:instrText>
      </w:r>
      <w:r>
        <w:fldChar w:fldCharType="separate"/>
      </w:r>
      <w:r>
        <w:rPr>
          <w:rStyle w:val="33"/>
        </w:rPr>
        <w:t>5.3  混合料技术要求</w:t>
      </w:r>
      <w:r>
        <w:tab/>
      </w:r>
      <w:r>
        <w:fldChar w:fldCharType="begin"/>
      </w:r>
      <w:r>
        <w:instrText xml:space="preserve"> PAGEREF _Toc199251476 \h </w:instrText>
      </w:r>
      <w:r>
        <w:fldChar w:fldCharType="separate"/>
      </w:r>
      <w:r>
        <w:t>4</w:t>
      </w:r>
      <w:r>
        <w:fldChar w:fldCharType="end"/>
      </w:r>
      <w:r>
        <w:fldChar w:fldCharType="end"/>
      </w:r>
    </w:p>
    <w:p w14:paraId="403E358F">
      <w:pPr>
        <w:pStyle w:val="25"/>
        <w:rPr>
          <w:rFonts w:asciiTheme="minorHAnsi" w:hAnsiTheme="minorHAnsi" w:eastAsiaTheme="minorEastAsia" w:cstheme="minorBidi"/>
          <w:szCs w:val="22"/>
        </w:rPr>
      </w:pPr>
      <w:r>
        <w:fldChar w:fldCharType="begin"/>
      </w:r>
      <w:r>
        <w:instrText xml:space="preserve"> HYPERLINK \l "_Toc199251477" </w:instrText>
      </w:r>
      <w:r>
        <w:fldChar w:fldCharType="separate"/>
      </w:r>
      <w:r>
        <w:rPr>
          <w:rStyle w:val="33"/>
        </w:rPr>
        <w:t>5.4  性能检验</w:t>
      </w:r>
      <w:r>
        <w:tab/>
      </w:r>
      <w:r>
        <w:fldChar w:fldCharType="begin"/>
      </w:r>
      <w:r>
        <w:instrText xml:space="preserve"> PAGEREF _Toc199251477 \h </w:instrText>
      </w:r>
      <w:r>
        <w:fldChar w:fldCharType="separate"/>
      </w:r>
      <w:r>
        <w:t>5</w:t>
      </w:r>
      <w:r>
        <w:fldChar w:fldCharType="end"/>
      </w:r>
      <w:r>
        <w:fldChar w:fldCharType="end"/>
      </w:r>
    </w:p>
    <w:p w14:paraId="2D998950">
      <w:pPr>
        <w:pStyle w:val="25"/>
        <w:rPr>
          <w:rFonts w:asciiTheme="minorHAnsi" w:hAnsiTheme="minorHAnsi" w:eastAsiaTheme="minorEastAsia" w:cstheme="minorBidi"/>
          <w:szCs w:val="22"/>
        </w:rPr>
      </w:pPr>
      <w:r>
        <w:fldChar w:fldCharType="begin"/>
      </w:r>
      <w:r>
        <w:instrText xml:space="preserve"> HYPERLINK \l "_Toc199251478" </w:instrText>
      </w:r>
      <w:r>
        <w:fldChar w:fldCharType="separate"/>
      </w:r>
      <w:r>
        <w:rPr>
          <w:rStyle w:val="33"/>
        </w:rPr>
        <w:t>5.5  目标配合比设计</w:t>
      </w:r>
      <w:r>
        <w:tab/>
      </w:r>
      <w:r>
        <w:fldChar w:fldCharType="begin"/>
      </w:r>
      <w:r>
        <w:instrText xml:space="preserve"> PAGEREF _Toc199251478 \h </w:instrText>
      </w:r>
      <w:r>
        <w:fldChar w:fldCharType="separate"/>
      </w:r>
      <w:r>
        <w:t>5</w:t>
      </w:r>
      <w:r>
        <w:fldChar w:fldCharType="end"/>
      </w:r>
      <w:r>
        <w:fldChar w:fldCharType="end"/>
      </w:r>
    </w:p>
    <w:p w14:paraId="76359E25">
      <w:pPr>
        <w:pStyle w:val="25"/>
        <w:rPr>
          <w:rFonts w:asciiTheme="minorHAnsi" w:hAnsiTheme="minorHAnsi" w:eastAsiaTheme="minorEastAsia" w:cstheme="minorBidi"/>
          <w:szCs w:val="22"/>
        </w:rPr>
      </w:pPr>
      <w:r>
        <w:fldChar w:fldCharType="begin"/>
      </w:r>
      <w:r>
        <w:instrText xml:space="preserve"> HYPERLINK \l "_Toc199251479" </w:instrText>
      </w:r>
      <w:r>
        <w:fldChar w:fldCharType="separate"/>
      </w:r>
      <w:r>
        <w:rPr>
          <w:rStyle w:val="33"/>
        </w:rPr>
        <w:t>5.6  生产配合比设计</w:t>
      </w:r>
      <w:r>
        <w:tab/>
      </w:r>
      <w:r>
        <w:fldChar w:fldCharType="begin"/>
      </w:r>
      <w:r>
        <w:instrText xml:space="preserve"> PAGEREF _Toc199251479 \h </w:instrText>
      </w:r>
      <w:r>
        <w:fldChar w:fldCharType="separate"/>
      </w:r>
      <w:r>
        <w:t>5</w:t>
      </w:r>
      <w:r>
        <w:fldChar w:fldCharType="end"/>
      </w:r>
      <w:r>
        <w:fldChar w:fldCharType="end"/>
      </w:r>
    </w:p>
    <w:p w14:paraId="0200FAB7">
      <w:pPr>
        <w:pStyle w:val="25"/>
        <w:rPr>
          <w:rFonts w:asciiTheme="minorHAnsi" w:hAnsiTheme="minorHAnsi" w:eastAsiaTheme="minorEastAsia" w:cstheme="minorBidi"/>
          <w:szCs w:val="22"/>
        </w:rPr>
      </w:pPr>
      <w:r>
        <w:fldChar w:fldCharType="begin"/>
      </w:r>
      <w:r>
        <w:instrText xml:space="preserve"> HYPERLINK \l "_Toc199251480" </w:instrText>
      </w:r>
      <w:r>
        <w:fldChar w:fldCharType="separate"/>
      </w:r>
      <w:r>
        <w:rPr>
          <w:rStyle w:val="33"/>
        </w:rPr>
        <w:t>5.7  生产配合比验证</w:t>
      </w:r>
      <w:r>
        <w:tab/>
      </w:r>
      <w:r>
        <w:fldChar w:fldCharType="begin"/>
      </w:r>
      <w:r>
        <w:instrText xml:space="preserve"> PAGEREF _Toc199251480 \h </w:instrText>
      </w:r>
      <w:r>
        <w:fldChar w:fldCharType="separate"/>
      </w:r>
      <w:r>
        <w:t>6</w:t>
      </w:r>
      <w:r>
        <w:fldChar w:fldCharType="end"/>
      </w:r>
      <w:r>
        <w:fldChar w:fldCharType="end"/>
      </w:r>
    </w:p>
    <w:p w14:paraId="7A9EE8F6">
      <w:pPr>
        <w:pStyle w:val="20"/>
        <w:rPr>
          <w:rFonts w:asciiTheme="minorHAnsi" w:hAnsiTheme="minorHAnsi" w:eastAsiaTheme="minorEastAsia" w:cstheme="minorBidi"/>
          <w:szCs w:val="22"/>
        </w:rPr>
      </w:pPr>
      <w:r>
        <w:fldChar w:fldCharType="begin"/>
      </w:r>
      <w:r>
        <w:instrText xml:space="preserve"> HYPERLINK \l "_Toc199251481" </w:instrText>
      </w:r>
      <w:r>
        <w:fldChar w:fldCharType="separate"/>
      </w:r>
      <w:r>
        <w:rPr>
          <w:rStyle w:val="33"/>
        </w:rPr>
        <w:t>6  施工</w:t>
      </w:r>
      <w:r>
        <w:tab/>
      </w:r>
      <w:r>
        <w:fldChar w:fldCharType="begin"/>
      </w:r>
      <w:r>
        <w:instrText xml:space="preserve"> PAGEREF _Toc199251481 \h </w:instrText>
      </w:r>
      <w:r>
        <w:fldChar w:fldCharType="separate"/>
      </w:r>
      <w:r>
        <w:t>6</w:t>
      </w:r>
      <w:r>
        <w:fldChar w:fldCharType="end"/>
      </w:r>
      <w:r>
        <w:fldChar w:fldCharType="end"/>
      </w:r>
    </w:p>
    <w:p w14:paraId="3D5C2533">
      <w:pPr>
        <w:pStyle w:val="25"/>
        <w:rPr>
          <w:rFonts w:asciiTheme="minorHAnsi" w:hAnsiTheme="minorHAnsi" w:eastAsiaTheme="minorEastAsia" w:cstheme="minorBidi"/>
          <w:szCs w:val="22"/>
        </w:rPr>
      </w:pPr>
      <w:r>
        <w:fldChar w:fldCharType="begin"/>
      </w:r>
      <w:r>
        <w:instrText xml:space="preserve"> HYPERLINK \l "_Toc199251482" </w:instrText>
      </w:r>
      <w:r>
        <w:fldChar w:fldCharType="separate"/>
      </w:r>
      <w:r>
        <w:rPr>
          <w:rStyle w:val="33"/>
        </w:rPr>
        <w:t>6.1  一般规定</w:t>
      </w:r>
      <w:r>
        <w:tab/>
      </w:r>
      <w:r>
        <w:fldChar w:fldCharType="begin"/>
      </w:r>
      <w:r>
        <w:instrText xml:space="preserve"> PAGEREF _Toc199251482 \h </w:instrText>
      </w:r>
      <w:r>
        <w:fldChar w:fldCharType="separate"/>
      </w:r>
      <w:r>
        <w:t>6</w:t>
      </w:r>
      <w:r>
        <w:fldChar w:fldCharType="end"/>
      </w:r>
      <w:r>
        <w:fldChar w:fldCharType="end"/>
      </w:r>
    </w:p>
    <w:p w14:paraId="130BDB70">
      <w:pPr>
        <w:pStyle w:val="25"/>
        <w:rPr>
          <w:rFonts w:asciiTheme="minorHAnsi" w:hAnsiTheme="minorHAnsi" w:eastAsiaTheme="minorEastAsia" w:cstheme="minorBidi"/>
          <w:szCs w:val="22"/>
        </w:rPr>
      </w:pPr>
      <w:r>
        <w:fldChar w:fldCharType="begin"/>
      </w:r>
      <w:r>
        <w:instrText xml:space="preserve"> HYPERLINK \l "_Toc199251483" </w:instrText>
      </w:r>
      <w:r>
        <w:fldChar w:fldCharType="separate"/>
      </w:r>
      <w:r>
        <w:rPr>
          <w:rStyle w:val="33"/>
        </w:rPr>
        <w:t>6.2  拌和</w:t>
      </w:r>
      <w:r>
        <w:tab/>
      </w:r>
      <w:r>
        <w:fldChar w:fldCharType="begin"/>
      </w:r>
      <w:r>
        <w:instrText xml:space="preserve"> PAGEREF _Toc199251483 \h </w:instrText>
      </w:r>
      <w:r>
        <w:fldChar w:fldCharType="separate"/>
      </w:r>
      <w:r>
        <w:t>6</w:t>
      </w:r>
      <w:r>
        <w:fldChar w:fldCharType="end"/>
      </w:r>
      <w:r>
        <w:fldChar w:fldCharType="end"/>
      </w:r>
    </w:p>
    <w:p w14:paraId="48EE1D39">
      <w:pPr>
        <w:pStyle w:val="25"/>
        <w:rPr>
          <w:rFonts w:asciiTheme="minorHAnsi" w:hAnsiTheme="minorHAnsi" w:eastAsiaTheme="minorEastAsia" w:cstheme="minorBidi"/>
          <w:szCs w:val="22"/>
        </w:rPr>
      </w:pPr>
      <w:r>
        <w:fldChar w:fldCharType="begin"/>
      </w:r>
      <w:r>
        <w:instrText xml:space="preserve"> HYPERLINK \l "_Toc199251484" </w:instrText>
      </w:r>
      <w:r>
        <w:fldChar w:fldCharType="separate"/>
      </w:r>
      <w:r>
        <w:rPr>
          <w:rStyle w:val="33"/>
        </w:rPr>
        <w:t>6.3  运输</w:t>
      </w:r>
      <w:r>
        <w:tab/>
      </w:r>
      <w:r>
        <w:fldChar w:fldCharType="begin"/>
      </w:r>
      <w:r>
        <w:instrText xml:space="preserve"> PAGEREF _Toc199251484 \h </w:instrText>
      </w:r>
      <w:r>
        <w:fldChar w:fldCharType="separate"/>
      </w:r>
      <w:r>
        <w:t>7</w:t>
      </w:r>
      <w:r>
        <w:fldChar w:fldCharType="end"/>
      </w:r>
      <w:r>
        <w:fldChar w:fldCharType="end"/>
      </w:r>
    </w:p>
    <w:p w14:paraId="71E3DCC2">
      <w:pPr>
        <w:pStyle w:val="25"/>
        <w:rPr>
          <w:rFonts w:asciiTheme="minorHAnsi" w:hAnsiTheme="minorHAnsi" w:eastAsiaTheme="minorEastAsia" w:cstheme="minorBidi"/>
          <w:szCs w:val="22"/>
        </w:rPr>
      </w:pPr>
      <w:r>
        <w:fldChar w:fldCharType="begin"/>
      </w:r>
      <w:r>
        <w:instrText xml:space="preserve"> HYPERLINK \l "_Toc199251485" </w:instrText>
      </w:r>
      <w:r>
        <w:fldChar w:fldCharType="separate"/>
      </w:r>
      <w:r>
        <w:rPr>
          <w:rStyle w:val="33"/>
        </w:rPr>
        <w:t>6.4  摊铺</w:t>
      </w:r>
      <w:r>
        <w:tab/>
      </w:r>
      <w:r>
        <w:fldChar w:fldCharType="begin"/>
      </w:r>
      <w:r>
        <w:instrText xml:space="preserve"> PAGEREF _Toc199251485 \h </w:instrText>
      </w:r>
      <w:r>
        <w:fldChar w:fldCharType="separate"/>
      </w:r>
      <w:r>
        <w:t>8</w:t>
      </w:r>
      <w:r>
        <w:fldChar w:fldCharType="end"/>
      </w:r>
      <w:r>
        <w:fldChar w:fldCharType="end"/>
      </w:r>
    </w:p>
    <w:p w14:paraId="4D990280">
      <w:pPr>
        <w:pStyle w:val="25"/>
        <w:rPr>
          <w:rFonts w:asciiTheme="minorHAnsi" w:hAnsiTheme="minorHAnsi" w:eastAsiaTheme="minorEastAsia" w:cstheme="minorBidi"/>
          <w:szCs w:val="22"/>
        </w:rPr>
      </w:pPr>
      <w:r>
        <w:fldChar w:fldCharType="begin"/>
      </w:r>
      <w:r>
        <w:instrText xml:space="preserve"> HYPERLINK \l "_Toc199251486" </w:instrText>
      </w:r>
      <w:r>
        <w:fldChar w:fldCharType="separate"/>
      </w:r>
      <w:r>
        <w:rPr>
          <w:rStyle w:val="33"/>
        </w:rPr>
        <w:t>6.5  碾压</w:t>
      </w:r>
      <w:r>
        <w:tab/>
      </w:r>
      <w:r>
        <w:fldChar w:fldCharType="begin"/>
      </w:r>
      <w:r>
        <w:instrText xml:space="preserve"> PAGEREF _Toc199251486 \h </w:instrText>
      </w:r>
      <w:r>
        <w:fldChar w:fldCharType="separate"/>
      </w:r>
      <w:r>
        <w:t>8</w:t>
      </w:r>
      <w:r>
        <w:fldChar w:fldCharType="end"/>
      </w:r>
      <w:r>
        <w:fldChar w:fldCharType="end"/>
      </w:r>
    </w:p>
    <w:p w14:paraId="0201C471">
      <w:pPr>
        <w:pStyle w:val="20"/>
        <w:rPr>
          <w:rFonts w:asciiTheme="minorHAnsi" w:hAnsiTheme="minorHAnsi" w:eastAsiaTheme="minorEastAsia" w:cstheme="minorBidi"/>
          <w:szCs w:val="22"/>
        </w:rPr>
      </w:pPr>
      <w:r>
        <w:fldChar w:fldCharType="begin"/>
      </w:r>
      <w:r>
        <w:instrText xml:space="preserve"> HYPERLINK \l "_Toc199251487" </w:instrText>
      </w:r>
      <w:r>
        <w:fldChar w:fldCharType="separate"/>
      </w:r>
      <w:r>
        <w:rPr>
          <w:rStyle w:val="33"/>
        </w:rPr>
        <w:t>7  质量管理和检查验收</w:t>
      </w:r>
      <w:r>
        <w:tab/>
      </w:r>
      <w:r>
        <w:fldChar w:fldCharType="begin"/>
      </w:r>
      <w:r>
        <w:instrText xml:space="preserve"> PAGEREF _Toc199251487 \h </w:instrText>
      </w:r>
      <w:r>
        <w:fldChar w:fldCharType="separate"/>
      </w:r>
      <w:r>
        <w:t>9</w:t>
      </w:r>
      <w:r>
        <w:fldChar w:fldCharType="end"/>
      </w:r>
      <w:r>
        <w:fldChar w:fldCharType="end"/>
      </w:r>
    </w:p>
    <w:p w14:paraId="18D9D1A9">
      <w:pPr>
        <w:pStyle w:val="25"/>
        <w:rPr>
          <w:rFonts w:asciiTheme="minorHAnsi" w:hAnsiTheme="minorHAnsi" w:eastAsiaTheme="minorEastAsia" w:cstheme="minorBidi"/>
          <w:szCs w:val="22"/>
        </w:rPr>
      </w:pPr>
      <w:r>
        <w:fldChar w:fldCharType="begin"/>
      </w:r>
      <w:r>
        <w:instrText xml:space="preserve"> HYPERLINK \l "_Toc199251488" </w:instrText>
      </w:r>
      <w:r>
        <w:fldChar w:fldCharType="separate"/>
      </w:r>
      <w:r>
        <w:rPr>
          <w:rStyle w:val="33"/>
        </w:rPr>
        <w:t>7.1  一般规定</w:t>
      </w:r>
      <w:r>
        <w:tab/>
      </w:r>
      <w:r>
        <w:fldChar w:fldCharType="begin"/>
      </w:r>
      <w:r>
        <w:instrText xml:space="preserve"> PAGEREF _Toc199251488 \h </w:instrText>
      </w:r>
      <w:r>
        <w:fldChar w:fldCharType="separate"/>
      </w:r>
      <w:r>
        <w:t>9</w:t>
      </w:r>
      <w:r>
        <w:fldChar w:fldCharType="end"/>
      </w:r>
      <w:r>
        <w:fldChar w:fldCharType="end"/>
      </w:r>
    </w:p>
    <w:p w14:paraId="774CF31F">
      <w:pPr>
        <w:pStyle w:val="25"/>
        <w:rPr>
          <w:rFonts w:asciiTheme="minorHAnsi" w:hAnsiTheme="minorHAnsi" w:eastAsiaTheme="minorEastAsia" w:cstheme="minorBidi"/>
          <w:szCs w:val="22"/>
        </w:rPr>
      </w:pPr>
      <w:r>
        <w:fldChar w:fldCharType="begin"/>
      </w:r>
      <w:r>
        <w:instrText xml:space="preserve"> HYPERLINK \l "_Toc199251489" </w:instrText>
      </w:r>
      <w:r>
        <w:fldChar w:fldCharType="separate"/>
      </w:r>
      <w:r>
        <w:rPr>
          <w:rStyle w:val="33"/>
        </w:rPr>
        <w:t>7.2  施工前质量管理与检查</w:t>
      </w:r>
      <w:r>
        <w:tab/>
      </w:r>
      <w:r>
        <w:fldChar w:fldCharType="begin"/>
      </w:r>
      <w:r>
        <w:instrText xml:space="preserve"> PAGEREF _Toc199251489 \h </w:instrText>
      </w:r>
      <w:r>
        <w:fldChar w:fldCharType="separate"/>
      </w:r>
      <w:r>
        <w:t>9</w:t>
      </w:r>
      <w:r>
        <w:fldChar w:fldCharType="end"/>
      </w:r>
      <w:r>
        <w:fldChar w:fldCharType="end"/>
      </w:r>
    </w:p>
    <w:p w14:paraId="5E17DBFA">
      <w:pPr>
        <w:pStyle w:val="25"/>
        <w:rPr>
          <w:rFonts w:asciiTheme="minorHAnsi" w:hAnsiTheme="minorHAnsi" w:eastAsiaTheme="minorEastAsia" w:cstheme="minorBidi"/>
          <w:szCs w:val="22"/>
        </w:rPr>
      </w:pPr>
      <w:r>
        <w:fldChar w:fldCharType="begin"/>
      </w:r>
      <w:r>
        <w:instrText xml:space="preserve"> HYPERLINK \l "_Toc199251490" </w:instrText>
      </w:r>
      <w:r>
        <w:fldChar w:fldCharType="separate"/>
      </w:r>
      <w:r>
        <w:rPr>
          <w:rStyle w:val="33"/>
        </w:rPr>
        <w:t>7.3  施工过程中质量管理与检查</w:t>
      </w:r>
      <w:r>
        <w:tab/>
      </w:r>
      <w:r>
        <w:fldChar w:fldCharType="begin"/>
      </w:r>
      <w:r>
        <w:instrText xml:space="preserve"> PAGEREF _Toc199251490 \h </w:instrText>
      </w:r>
      <w:r>
        <w:fldChar w:fldCharType="separate"/>
      </w:r>
      <w:r>
        <w:t>9</w:t>
      </w:r>
      <w:r>
        <w:fldChar w:fldCharType="end"/>
      </w:r>
      <w:r>
        <w:fldChar w:fldCharType="end"/>
      </w:r>
    </w:p>
    <w:p w14:paraId="545EFF6E">
      <w:pPr>
        <w:pStyle w:val="25"/>
        <w:rPr>
          <w:rFonts w:asciiTheme="minorHAnsi" w:hAnsiTheme="minorHAnsi" w:eastAsiaTheme="minorEastAsia" w:cstheme="minorBidi"/>
          <w:szCs w:val="22"/>
        </w:rPr>
      </w:pPr>
      <w:r>
        <w:fldChar w:fldCharType="begin"/>
      </w:r>
      <w:r>
        <w:instrText xml:space="preserve"> HYPERLINK \l "_Toc199251491" </w:instrText>
      </w:r>
      <w:r>
        <w:fldChar w:fldCharType="separate"/>
      </w:r>
      <w:r>
        <w:rPr>
          <w:rStyle w:val="33"/>
        </w:rPr>
        <w:t>7.4  交工验收阶段的工程质量检查与验收</w:t>
      </w:r>
      <w:r>
        <w:tab/>
      </w:r>
      <w:r>
        <w:fldChar w:fldCharType="begin"/>
      </w:r>
      <w:r>
        <w:instrText xml:space="preserve"> PAGEREF _Toc199251491 \h </w:instrText>
      </w:r>
      <w:r>
        <w:fldChar w:fldCharType="separate"/>
      </w:r>
      <w:r>
        <w:t>12</w:t>
      </w:r>
      <w:r>
        <w:fldChar w:fldCharType="end"/>
      </w:r>
      <w:r>
        <w:fldChar w:fldCharType="end"/>
      </w:r>
    </w:p>
    <w:p w14:paraId="5B79F13B">
      <w:pPr>
        <w:pStyle w:val="20"/>
        <w:rPr>
          <w:rFonts w:asciiTheme="minorHAnsi" w:hAnsiTheme="minorHAnsi" w:eastAsiaTheme="minorEastAsia" w:cstheme="minorBidi"/>
          <w:szCs w:val="22"/>
        </w:rPr>
      </w:pPr>
      <w:r>
        <w:fldChar w:fldCharType="begin"/>
      </w:r>
      <w:r>
        <w:instrText xml:space="preserve"> HYPERLINK \l "_Toc199251492" </w:instrText>
      </w:r>
      <w:r>
        <w:fldChar w:fldCharType="separate"/>
      </w:r>
      <w:r>
        <w:rPr>
          <w:rStyle w:val="33"/>
        </w:rPr>
        <w:t>附录A（规范性）  LSPM混合料设计方法</w:t>
      </w:r>
      <w:r>
        <w:tab/>
      </w:r>
      <w:r>
        <w:fldChar w:fldCharType="begin"/>
      </w:r>
      <w:r>
        <w:instrText xml:space="preserve"> PAGEREF _Toc199251492 \h </w:instrText>
      </w:r>
      <w:r>
        <w:fldChar w:fldCharType="separate"/>
      </w:r>
      <w:r>
        <w:t>13</w:t>
      </w:r>
      <w:r>
        <w:fldChar w:fldCharType="end"/>
      </w:r>
      <w:r>
        <w:fldChar w:fldCharType="end"/>
      </w:r>
    </w:p>
    <w:p w14:paraId="70284F34">
      <w:pPr>
        <w:pStyle w:val="25"/>
        <w:rPr>
          <w:rFonts w:asciiTheme="minorHAnsi" w:hAnsiTheme="minorHAnsi" w:eastAsiaTheme="minorEastAsia" w:cstheme="minorBidi"/>
          <w:szCs w:val="22"/>
        </w:rPr>
      </w:pPr>
      <w:r>
        <w:fldChar w:fldCharType="begin"/>
      </w:r>
      <w:r>
        <w:instrText xml:space="preserve"> HYPERLINK \l "_Toc199251493" </w:instrText>
      </w:r>
      <w:r>
        <w:fldChar w:fldCharType="separate"/>
      </w:r>
      <w:r>
        <w:rPr>
          <w:rStyle w:val="33"/>
        </w:rPr>
        <w:t>A.1  概述</w:t>
      </w:r>
      <w:r>
        <w:tab/>
      </w:r>
      <w:r>
        <w:fldChar w:fldCharType="begin"/>
      </w:r>
      <w:r>
        <w:instrText xml:space="preserve"> PAGEREF _Toc199251493 \h </w:instrText>
      </w:r>
      <w:r>
        <w:fldChar w:fldCharType="separate"/>
      </w:r>
      <w:r>
        <w:t>13</w:t>
      </w:r>
      <w:r>
        <w:fldChar w:fldCharType="end"/>
      </w:r>
      <w:r>
        <w:fldChar w:fldCharType="end"/>
      </w:r>
    </w:p>
    <w:p w14:paraId="557377DF">
      <w:pPr>
        <w:pStyle w:val="25"/>
        <w:rPr>
          <w:rFonts w:asciiTheme="minorHAnsi" w:hAnsiTheme="minorHAnsi" w:eastAsiaTheme="minorEastAsia" w:cstheme="minorBidi"/>
          <w:szCs w:val="22"/>
        </w:rPr>
      </w:pPr>
      <w:r>
        <w:fldChar w:fldCharType="begin"/>
      </w:r>
      <w:r>
        <w:instrText xml:space="preserve"> HYPERLINK \l "_Toc199251494" </w:instrText>
      </w:r>
      <w:r>
        <w:fldChar w:fldCharType="separate"/>
      </w:r>
      <w:r>
        <w:rPr>
          <w:rStyle w:val="33"/>
        </w:rPr>
        <w:t>A.2  材料选择</w:t>
      </w:r>
      <w:r>
        <w:tab/>
      </w:r>
      <w:r>
        <w:fldChar w:fldCharType="begin"/>
      </w:r>
      <w:r>
        <w:instrText xml:space="preserve"> PAGEREF _Toc199251494 \h </w:instrText>
      </w:r>
      <w:r>
        <w:fldChar w:fldCharType="separate"/>
      </w:r>
      <w:r>
        <w:t>13</w:t>
      </w:r>
      <w:r>
        <w:fldChar w:fldCharType="end"/>
      </w:r>
      <w:r>
        <w:fldChar w:fldCharType="end"/>
      </w:r>
    </w:p>
    <w:p w14:paraId="49CA9B20">
      <w:pPr>
        <w:pStyle w:val="25"/>
        <w:rPr>
          <w:rFonts w:asciiTheme="minorHAnsi" w:hAnsiTheme="minorHAnsi" w:eastAsiaTheme="minorEastAsia" w:cstheme="minorBidi"/>
          <w:szCs w:val="22"/>
        </w:rPr>
      </w:pPr>
      <w:r>
        <w:fldChar w:fldCharType="begin"/>
      </w:r>
      <w:r>
        <w:instrText xml:space="preserve"> HYPERLINK \l "_Toc199251495" </w:instrText>
      </w:r>
      <w:r>
        <w:fldChar w:fldCharType="separate"/>
      </w:r>
      <w:r>
        <w:rPr>
          <w:rStyle w:val="33"/>
        </w:rPr>
        <w:t>A.3  矿料级配设计</w:t>
      </w:r>
      <w:r>
        <w:tab/>
      </w:r>
      <w:r>
        <w:fldChar w:fldCharType="begin"/>
      </w:r>
      <w:r>
        <w:instrText xml:space="preserve"> PAGEREF _Toc199251495 \h </w:instrText>
      </w:r>
      <w:r>
        <w:fldChar w:fldCharType="separate"/>
      </w:r>
      <w:r>
        <w:t>14</w:t>
      </w:r>
      <w:r>
        <w:fldChar w:fldCharType="end"/>
      </w:r>
      <w:r>
        <w:fldChar w:fldCharType="end"/>
      </w:r>
    </w:p>
    <w:p w14:paraId="7CADF0CA">
      <w:pPr>
        <w:pStyle w:val="25"/>
        <w:rPr>
          <w:rFonts w:asciiTheme="minorHAnsi" w:hAnsiTheme="minorHAnsi" w:eastAsiaTheme="minorEastAsia" w:cstheme="minorBidi"/>
          <w:szCs w:val="22"/>
        </w:rPr>
      </w:pPr>
      <w:r>
        <w:fldChar w:fldCharType="begin"/>
      </w:r>
      <w:r>
        <w:instrText xml:space="preserve"> HYPERLINK \l "_Toc199251496" </w:instrText>
      </w:r>
      <w:r>
        <w:fldChar w:fldCharType="separate"/>
      </w:r>
      <w:r>
        <w:rPr>
          <w:rStyle w:val="33"/>
        </w:rPr>
        <w:t>A.4  确定最佳沥青用量设计</w:t>
      </w:r>
      <w:r>
        <w:tab/>
      </w:r>
      <w:r>
        <w:fldChar w:fldCharType="begin"/>
      </w:r>
      <w:r>
        <w:instrText xml:space="preserve"> PAGEREF _Toc199251496 \h </w:instrText>
      </w:r>
      <w:r>
        <w:fldChar w:fldCharType="separate"/>
      </w:r>
      <w:r>
        <w:t>14</w:t>
      </w:r>
      <w:r>
        <w:fldChar w:fldCharType="end"/>
      </w:r>
      <w:r>
        <w:fldChar w:fldCharType="end"/>
      </w:r>
    </w:p>
    <w:p w14:paraId="37FB713D">
      <w:pPr>
        <w:pStyle w:val="25"/>
        <w:rPr>
          <w:rFonts w:asciiTheme="minorHAnsi" w:hAnsiTheme="minorHAnsi" w:eastAsiaTheme="minorEastAsia" w:cstheme="minorBidi"/>
          <w:szCs w:val="22"/>
        </w:rPr>
      </w:pPr>
      <w:r>
        <w:fldChar w:fldCharType="begin"/>
      </w:r>
      <w:r>
        <w:instrText xml:space="preserve"> HYPERLINK \l "_Toc199251497" </w:instrText>
      </w:r>
      <w:r>
        <w:fldChar w:fldCharType="separate"/>
      </w:r>
      <w:r>
        <w:rPr>
          <w:rStyle w:val="33"/>
        </w:rPr>
        <w:t>A.5  配合比性能检验</w:t>
      </w:r>
      <w:r>
        <w:tab/>
      </w:r>
      <w:r>
        <w:fldChar w:fldCharType="begin"/>
      </w:r>
      <w:r>
        <w:instrText xml:space="preserve"> PAGEREF _Toc199251497 \h </w:instrText>
      </w:r>
      <w:r>
        <w:fldChar w:fldCharType="separate"/>
      </w:r>
      <w:r>
        <w:t>14</w:t>
      </w:r>
      <w:r>
        <w:fldChar w:fldCharType="end"/>
      </w:r>
      <w:r>
        <w:fldChar w:fldCharType="end"/>
      </w:r>
    </w:p>
    <w:p w14:paraId="443414BD">
      <w:pPr>
        <w:pStyle w:val="25"/>
        <w:rPr>
          <w:rFonts w:asciiTheme="minorHAnsi" w:hAnsiTheme="minorHAnsi" w:eastAsiaTheme="minorEastAsia" w:cstheme="minorBidi"/>
          <w:szCs w:val="22"/>
        </w:rPr>
      </w:pPr>
      <w:r>
        <w:fldChar w:fldCharType="begin"/>
      </w:r>
      <w:r>
        <w:instrText xml:space="preserve"> HYPERLINK \l "_Toc199251498" </w:instrText>
      </w:r>
      <w:r>
        <w:fldChar w:fldCharType="separate"/>
      </w:r>
      <w:r>
        <w:rPr>
          <w:rStyle w:val="33"/>
        </w:rPr>
        <w:t>A.6  配合比设计报告</w:t>
      </w:r>
      <w:r>
        <w:tab/>
      </w:r>
      <w:r>
        <w:fldChar w:fldCharType="begin"/>
      </w:r>
      <w:r>
        <w:instrText xml:space="preserve"> PAGEREF _Toc199251498 \h </w:instrText>
      </w:r>
      <w:r>
        <w:fldChar w:fldCharType="separate"/>
      </w:r>
      <w:r>
        <w:t>14</w:t>
      </w:r>
      <w:r>
        <w:fldChar w:fldCharType="end"/>
      </w:r>
      <w:r>
        <w:fldChar w:fldCharType="end"/>
      </w:r>
    </w:p>
    <w:p w14:paraId="1D0C7FDD">
      <w:pPr>
        <w:pStyle w:val="93"/>
        <w:spacing w:after="468"/>
        <w:sectPr>
          <w:footerReference r:id="rId9" w:type="default"/>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6"/>
    <w:p w14:paraId="0391F5AA">
      <w:pPr>
        <w:pStyle w:val="91"/>
        <w:spacing w:after="468"/>
      </w:pPr>
      <w:bookmarkStart w:id="23" w:name="_Toc199251462"/>
      <w:bookmarkStart w:id="24" w:name="BookMark2"/>
      <w:r>
        <w:rPr>
          <w:spacing w:val="320"/>
        </w:rPr>
        <w:t>前</w:t>
      </w:r>
      <w:r>
        <w:t>言</w:t>
      </w:r>
      <w:bookmarkEnd w:id="17"/>
      <w:bookmarkEnd w:id="18"/>
      <w:bookmarkEnd w:id="19"/>
      <w:bookmarkEnd w:id="20"/>
      <w:bookmarkEnd w:id="21"/>
      <w:bookmarkEnd w:id="22"/>
      <w:bookmarkEnd w:id="23"/>
    </w:p>
    <w:p w14:paraId="118A2CF7">
      <w:pPr>
        <w:pStyle w:val="58"/>
        <w:ind w:firstLine="420"/>
      </w:pPr>
      <w:r>
        <w:rPr>
          <w:rFonts w:hint="eastAsia"/>
        </w:rPr>
        <w:t>本文件按照GB/T 1.1—2020《标准化工作导则  第1部分：标准化文件的结构和起草规则》的规定起草。</w:t>
      </w:r>
    </w:p>
    <w:p w14:paraId="7CEBA7AA">
      <w:pPr>
        <w:pStyle w:val="58"/>
        <w:ind w:firstLine="420"/>
      </w:pPr>
      <w:r>
        <w:rPr>
          <w:rFonts w:hint="eastAsia"/>
        </w:rPr>
        <w:t>本文件代替DB37/T 1161—2009《大粒径透水性沥青混合料应用技术规程》，与DB37/T 1161—2009相比，除结构调整和编辑性改动外，主要技术变化如下：</w:t>
      </w:r>
    </w:p>
    <w:p w14:paraId="778C1DD7">
      <w:pPr>
        <w:pStyle w:val="176"/>
      </w:pPr>
      <w:r>
        <w:rPr>
          <w:rFonts w:hint="eastAsia"/>
        </w:rPr>
        <w:t>增加了橡胶胶粉改性沥青作为沥青胶结料的使用要求和技术指标（见4.2.2、4.2.4）；</w:t>
      </w:r>
    </w:p>
    <w:p w14:paraId="5561AF53">
      <w:pPr>
        <w:pStyle w:val="176"/>
      </w:pPr>
      <w:r>
        <w:rPr>
          <w:rFonts w:hint="eastAsia"/>
        </w:rPr>
        <w:t>更改了多级沥青结合料技术指标（见4.2.5，2009 年版的表3.5.1）；</w:t>
      </w:r>
    </w:p>
    <w:p w14:paraId="1F8FE47D">
      <w:pPr>
        <w:pStyle w:val="176"/>
      </w:pPr>
      <w:r>
        <w:rPr>
          <w:rFonts w:hint="eastAsia"/>
        </w:rPr>
        <w:t>更改了压碎值、洛杉矶磨损失、粘附性、软石含量、亚甲蓝、棱角性（间隙率法）、机制砂规格技术指标要求（见表2、表3、表4，2009年版的表3.2.1、表3.3.1）；</w:t>
      </w:r>
    </w:p>
    <w:p w14:paraId="6E3D4103">
      <w:pPr>
        <w:pStyle w:val="176"/>
      </w:pPr>
      <w:r>
        <w:rPr>
          <w:rFonts w:hint="eastAsia"/>
        </w:rPr>
        <w:t>增加了高温压碎值技术指标要求（见表2）；</w:t>
      </w:r>
    </w:p>
    <w:p w14:paraId="3EF3F35F">
      <w:pPr>
        <w:pStyle w:val="176"/>
      </w:pPr>
      <w:r>
        <w:rPr>
          <w:rFonts w:hint="eastAsia"/>
        </w:rPr>
        <w:t>删除了天然砂、细集料塑性指数的技术要求（见2009年版的3.3.1、3.3.2）；</w:t>
      </w:r>
    </w:p>
    <w:p w14:paraId="2FCC50EA">
      <w:pPr>
        <w:pStyle w:val="176"/>
      </w:pPr>
      <w:r>
        <w:rPr>
          <w:rFonts w:hint="eastAsia"/>
        </w:rPr>
        <w:t>增加了水泥作为填料的使用要求及回收粉不应作为填料的要求（见4.5）；</w:t>
      </w:r>
    </w:p>
    <w:p w14:paraId="4C48ECD6">
      <w:pPr>
        <w:pStyle w:val="176"/>
      </w:pPr>
      <w:r>
        <w:rPr>
          <w:rFonts w:hint="eastAsia"/>
        </w:rPr>
        <w:t>增加了“纤维”相关内容（见4.6）；</w:t>
      </w:r>
    </w:p>
    <w:p w14:paraId="24B2A0B1">
      <w:pPr>
        <w:pStyle w:val="176"/>
      </w:pPr>
      <w:r>
        <w:rPr>
          <w:rFonts w:hint="eastAsia"/>
        </w:rPr>
        <w:t>增加了三阶段配合比设计的规定（见5.1.2）；</w:t>
      </w:r>
    </w:p>
    <w:p w14:paraId="73CB5CB2">
      <w:pPr>
        <w:pStyle w:val="176"/>
      </w:pPr>
      <w:r>
        <w:rPr>
          <w:rFonts w:hint="eastAsia"/>
        </w:rPr>
        <w:t>增加了LSPM-20推荐级配范围及推荐级配范围的16</w:t>
      </w:r>
      <w:r>
        <w:t> </w:t>
      </w:r>
      <w:r>
        <w:rPr>
          <w:rFonts w:hint="eastAsia"/>
        </w:rPr>
        <w:t>mm筛孔通过率（见5.2）；</w:t>
      </w:r>
    </w:p>
    <w:p w14:paraId="5BB013EB">
      <w:pPr>
        <w:pStyle w:val="176"/>
      </w:pPr>
      <w:r>
        <w:rPr>
          <w:rFonts w:hint="eastAsia"/>
        </w:rPr>
        <w:t>增加了LSPM 大型马歇尔设计方法空隙率的技术要求（见5.3.2）；</w:t>
      </w:r>
    </w:p>
    <w:p w14:paraId="0CF916EF">
      <w:pPr>
        <w:pStyle w:val="176"/>
      </w:pPr>
      <w:r>
        <w:rPr>
          <w:rFonts w:hint="eastAsia"/>
        </w:rPr>
        <w:t>删除了动稳定度车辙、渗透系数性能检验技术指标（见2009年版的 4.4）；</w:t>
      </w:r>
    </w:p>
    <w:p w14:paraId="4AF18C44">
      <w:pPr>
        <w:pStyle w:val="176"/>
      </w:pPr>
      <w:r>
        <w:rPr>
          <w:rFonts w:hint="eastAsia"/>
        </w:rPr>
        <w:t>增加了汉堡车辙试验、渗水系数性能检验技术指标（见5.4.2）；</w:t>
      </w:r>
    </w:p>
    <w:p w14:paraId="2F9EE472">
      <w:pPr>
        <w:pStyle w:val="176"/>
      </w:pPr>
      <w:r>
        <w:rPr>
          <w:rFonts w:hint="eastAsia"/>
        </w:rPr>
        <w:t>删除了“结构组合设计”（2009年版的第5章）；</w:t>
      </w:r>
    </w:p>
    <w:p w14:paraId="7DAEB7C9">
      <w:pPr>
        <w:pStyle w:val="176"/>
      </w:pPr>
      <w:r>
        <w:rPr>
          <w:rFonts w:hint="eastAsia"/>
        </w:rPr>
        <w:t>更改了“LSPM混合料施工温度”（见表8，2009年版的6.3.5）；</w:t>
      </w:r>
    </w:p>
    <w:p w14:paraId="32CD9A13">
      <w:pPr>
        <w:pStyle w:val="176"/>
      </w:pPr>
      <w:r>
        <w:rPr>
          <w:rFonts w:hint="eastAsia"/>
        </w:rPr>
        <w:t>增加了“拌和机计量系统的精度要求”（见6.2.1）；</w:t>
      </w:r>
    </w:p>
    <w:p w14:paraId="149C8EB7">
      <w:pPr>
        <w:pStyle w:val="176"/>
      </w:pPr>
      <w:r>
        <w:rPr>
          <w:rFonts w:hint="eastAsia"/>
        </w:rPr>
        <w:t>增加了沥青混合料“三次装料法”和“五次装料法”的要求（见6.3.2）；</w:t>
      </w:r>
    </w:p>
    <w:p w14:paraId="551BC4B7">
      <w:pPr>
        <w:pStyle w:val="176"/>
      </w:pPr>
      <w:r>
        <w:rPr>
          <w:rFonts w:hint="eastAsia"/>
        </w:rPr>
        <w:t>删除了“检查验收”相关内容（见2009年版的第7章）；</w:t>
      </w:r>
    </w:p>
    <w:p w14:paraId="25569033">
      <w:pPr>
        <w:pStyle w:val="176"/>
      </w:pPr>
      <w:r>
        <w:rPr>
          <w:rFonts w:hint="eastAsia"/>
        </w:rPr>
        <w:t>更改了LSPM施工过程中空隙率指标要求（见7.3.4，2009年版的7.3.6）；</w:t>
      </w:r>
    </w:p>
    <w:p w14:paraId="04E6C7B4">
      <w:pPr>
        <w:pStyle w:val="176"/>
      </w:pPr>
      <w:r>
        <w:rPr>
          <w:rFonts w:hint="eastAsia"/>
        </w:rPr>
        <w:t>更改了“LSPM混合料设计方法”（见附录A，2009年版的附录A）；</w:t>
      </w:r>
    </w:p>
    <w:p w14:paraId="2487E955">
      <w:pPr>
        <w:pStyle w:val="176"/>
      </w:pPr>
      <w:r>
        <w:rPr>
          <w:rFonts w:hint="eastAsia"/>
        </w:rPr>
        <w:t>删除了“真空密封法测定压实沥青混合料毛体积密度试验方法”（见2009年版的附录B）；</w:t>
      </w:r>
    </w:p>
    <w:p w14:paraId="0D0F2A6A">
      <w:pPr>
        <w:pStyle w:val="176"/>
      </w:pPr>
      <w:r>
        <w:rPr>
          <w:rFonts w:hint="eastAsia"/>
        </w:rPr>
        <w:t>删除了“渗透性试验方法”（见2009年版的附录C）；</w:t>
      </w:r>
    </w:p>
    <w:p w14:paraId="19DAD164">
      <w:pPr>
        <w:pStyle w:val="176"/>
      </w:pPr>
      <w:r>
        <w:rPr>
          <w:rFonts w:hint="eastAsia"/>
        </w:rPr>
        <w:t>删除了“条文说明”的相关内容（2009年版的附件）。</w:t>
      </w:r>
    </w:p>
    <w:p w14:paraId="7A9FBB99">
      <w:pPr>
        <w:pStyle w:val="58"/>
        <w:ind w:firstLine="420"/>
      </w:pPr>
      <w:r>
        <w:rPr>
          <w:rFonts w:hint="eastAsia"/>
        </w:rPr>
        <w:t>请注意本文件的某些内容可能涉及专利。本文件的发布机构不承担识别专利的责任。</w:t>
      </w:r>
    </w:p>
    <w:p w14:paraId="5CECC75A">
      <w:pPr>
        <w:pStyle w:val="58"/>
        <w:ind w:firstLine="420"/>
      </w:pPr>
      <w:r>
        <w:rPr>
          <w:rFonts w:hint="eastAsia"/>
        </w:rPr>
        <w:t>本文件由山东省交通运输厅提出并组织实施。</w:t>
      </w:r>
    </w:p>
    <w:p w14:paraId="02A8C1C2">
      <w:pPr>
        <w:pStyle w:val="58"/>
        <w:ind w:firstLine="420"/>
      </w:pPr>
      <w:r>
        <w:rPr>
          <w:rFonts w:hint="eastAsia"/>
        </w:rPr>
        <w:t>本文件由山东省交通运输标准化技术委员会归口。</w:t>
      </w:r>
    </w:p>
    <w:p w14:paraId="1F1DDED5">
      <w:pPr>
        <w:pStyle w:val="58"/>
        <w:ind w:firstLine="420"/>
      </w:pPr>
      <w:r>
        <w:rPr>
          <w:rFonts w:hint="eastAsia"/>
        </w:rPr>
        <w:t>本文件及其所代替文件的历次版本发布情况为：</w:t>
      </w:r>
    </w:p>
    <w:p w14:paraId="57FA636D">
      <w:pPr>
        <w:pStyle w:val="134"/>
      </w:pPr>
      <w:r>
        <w:rPr>
          <w:rFonts w:hint="eastAsia"/>
        </w:rPr>
        <w:t>2009年首次发布为DB37/T 1161—2009；</w:t>
      </w:r>
    </w:p>
    <w:p w14:paraId="3BC53978">
      <w:pPr>
        <w:pStyle w:val="134"/>
      </w:pPr>
      <w:r>
        <w:rPr>
          <w:rFonts w:hint="eastAsia"/>
        </w:rPr>
        <w:t>本次为第一次修订。</w:t>
      </w:r>
    </w:p>
    <w:p w14:paraId="183A8783">
      <w:pPr>
        <w:widowControl/>
        <w:adjustRightInd/>
        <w:spacing w:line="240" w:lineRule="auto"/>
        <w:jc w:val="left"/>
        <w:sectPr>
          <w:pgSz w:w="11906" w:h="16838"/>
          <w:pgMar w:top="567" w:right="1134" w:bottom="1134" w:left="1134" w:header="1418" w:footer="1134" w:gutter="284"/>
          <w:pgNumType w:fmt="upperRoman"/>
          <w:cols w:space="425" w:num="1"/>
          <w:formProt w:val="0"/>
          <w:docGrid w:type="lines" w:linePitch="312" w:charSpace="0"/>
        </w:sectPr>
      </w:pPr>
      <w:r>
        <w:br w:type="page"/>
      </w:r>
    </w:p>
    <w:bookmarkEnd w:id="24"/>
    <w:p w14:paraId="186D7B0B">
      <w:pPr>
        <w:spacing w:line="20" w:lineRule="exact"/>
        <w:jc w:val="center"/>
        <w:rPr>
          <w:rFonts w:ascii="黑体" w:hAnsi="黑体" w:eastAsia="黑体"/>
          <w:sz w:val="32"/>
          <w:szCs w:val="32"/>
        </w:rPr>
      </w:pPr>
      <w:bookmarkStart w:id="25" w:name="BookMark4"/>
    </w:p>
    <w:p w14:paraId="3B160F4A">
      <w:pPr>
        <w:spacing w:line="20" w:lineRule="exact"/>
        <w:jc w:val="center"/>
        <w:rPr>
          <w:rFonts w:ascii="黑体" w:hAnsi="黑体" w:eastAsia="黑体"/>
          <w:sz w:val="32"/>
          <w:szCs w:val="32"/>
        </w:rPr>
      </w:pPr>
    </w:p>
    <w:sdt>
      <w:sdtPr>
        <w:tag w:val="NEW_STAND_NAME"/>
        <w:id w:val="595910757"/>
        <w:lock w:val="sdtLocked"/>
        <w:placeholder>
          <w:docPart w:val="021382BEB6334716A3C4C81BC1FFB301"/>
        </w:placeholder>
      </w:sdtPr>
      <w:sdtContent>
        <w:p w14:paraId="58556FDC">
          <w:pPr>
            <w:pStyle w:val="179"/>
            <w:spacing w:before="567" w:beforeLines="182" w:after="686" w:afterLines="220"/>
          </w:pPr>
          <w:bookmarkStart w:id="26" w:name="NEW_STAND_NAME"/>
          <w:r>
            <w:rPr>
              <w:rFonts w:hint="eastAsia"/>
            </w:rPr>
            <w:t>大粒径透水性沥青混合料施工技术规范</w:t>
          </w:r>
        </w:p>
      </w:sdtContent>
    </w:sdt>
    <w:bookmarkEnd w:id="26"/>
    <w:p w14:paraId="60B12CED">
      <w:pPr>
        <w:pStyle w:val="106"/>
        <w:spacing w:before="312" w:after="312"/>
      </w:pPr>
      <w:bookmarkStart w:id="27" w:name="_Toc195012997"/>
      <w:bookmarkStart w:id="28" w:name="_Toc26986530"/>
      <w:bookmarkStart w:id="29" w:name="_Toc26986771"/>
      <w:bookmarkStart w:id="30" w:name="_Toc17233325"/>
      <w:bookmarkStart w:id="31" w:name="_Toc26648465"/>
      <w:bookmarkStart w:id="32" w:name="_Toc24884211"/>
      <w:bookmarkStart w:id="33" w:name="_Toc199251463"/>
      <w:bookmarkStart w:id="34" w:name="_Toc198815884"/>
      <w:bookmarkStart w:id="35" w:name="_Toc198816967"/>
      <w:bookmarkStart w:id="36" w:name="_Toc24884218"/>
      <w:bookmarkStart w:id="37" w:name="_Toc169703776"/>
      <w:bookmarkStart w:id="38" w:name="_Toc17233333"/>
      <w:bookmarkStart w:id="39" w:name="_Toc26718930"/>
      <w:bookmarkStart w:id="40" w:name="_Toc169879596"/>
      <w:bookmarkStart w:id="41" w:name="_Toc198802212"/>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815706B">
      <w:pPr>
        <w:pStyle w:val="58"/>
        <w:ind w:firstLine="420"/>
      </w:pPr>
      <w:bookmarkStart w:id="42" w:name="_Toc24884219"/>
      <w:bookmarkStart w:id="43" w:name="_Toc17233334"/>
      <w:bookmarkStart w:id="44" w:name="_Toc26648466"/>
      <w:bookmarkStart w:id="45" w:name="_Toc24884212"/>
      <w:bookmarkStart w:id="46" w:name="_Toc17233326"/>
      <w:r>
        <w:rPr>
          <w:rFonts w:hint="eastAsia"/>
        </w:rPr>
        <w:t>本文件规定了大粒径透水性沥青混合料的材料、混合料设计、施工、质量管理和检查验收。</w:t>
      </w:r>
    </w:p>
    <w:p w14:paraId="39867710">
      <w:pPr>
        <w:pStyle w:val="58"/>
        <w:ind w:firstLine="420"/>
      </w:pPr>
      <w:r>
        <w:rPr>
          <w:rFonts w:hint="eastAsia"/>
        </w:rPr>
        <w:t>本文件适用于各等级公路的新建、改扩建及养护工程。</w:t>
      </w:r>
    </w:p>
    <w:p w14:paraId="76927182">
      <w:pPr>
        <w:pStyle w:val="106"/>
        <w:spacing w:before="312" w:after="312"/>
      </w:pPr>
      <w:bookmarkStart w:id="47" w:name="_Toc26718931"/>
      <w:bookmarkStart w:id="48" w:name="_Toc169879597"/>
      <w:bookmarkStart w:id="49" w:name="_Toc198802213"/>
      <w:bookmarkStart w:id="50" w:name="_Toc26986772"/>
      <w:bookmarkStart w:id="51" w:name="_Toc199251464"/>
      <w:bookmarkStart w:id="52" w:name="_Toc198815885"/>
      <w:bookmarkStart w:id="53" w:name="_Toc195012998"/>
      <w:bookmarkStart w:id="54" w:name="_Toc26986531"/>
      <w:bookmarkStart w:id="55" w:name="_Toc169703777"/>
      <w:bookmarkStart w:id="56" w:name="_Toc198816968"/>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2210F4A9D9514149AC47FA0AB2C24B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B197A1E">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6EAE55">
      <w:pPr>
        <w:pStyle w:val="58"/>
        <w:ind w:firstLine="420"/>
      </w:pPr>
      <w:bookmarkStart w:id="57" w:name="OLE_LINK12"/>
      <w:bookmarkStart w:id="58" w:name="OLE_LINK13"/>
      <w:bookmarkStart w:id="59" w:name="OLE_LINK1"/>
      <w:r>
        <w:rPr>
          <w:rFonts w:hint="eastAsia"/>
        </w:rPr>
        <w:t>JTG E20—2011  公路工程沥青及沥青混合料试验规程</w:t>
      </w:r>
    </w:p>
    <w:bookmarkEnd w:id="57"/>
    <w:p w14:paraId="7022E032">
      <w:pPr>
        <w:pStyle w:val="58"/>
        <w:ind w:firstLine="420"/>
      </w:pPr>
      <w:r>
        <w:rPr>
          <w:rFonts w:hint="eastAsia"/>
        </w:rPr>
        <w:t>JTG/T F20—2015　公路路面基层施工技术细则</w:t>
      </w:r>
    </w:p>
    <w:p w14:paraId="04FFDEE5">
      <w:pPr>
        <w:pStyle w:val="58"/>
        <w:ind w:firstLine="420"/>
      </w:pPr>
      <w:r>
        <w:rPr>
          <w:rFonts w:hint="eastAsia"/>
        </w:rPr>
        <w:t>JTG F40—2004　公路沥青路面施工技术规范</w:t>
      </w:r>
    </w:p>
    <w:p w14:paraId="6716AD10">
      <w:pPr>
        <w:pStyle w:val="58"/>
        <w:ind w:firstLine="420"/>
      </w:pPr>
      <w:r>
        <w:rPr>
          <w:rFonts w:hint="eastAsia"/>
        </w:rPr>
        <w:t>JTG F80/1　公路工程质量检验评定标准　第一册　土建工程</w:t>
      </w:r>
    </w:p>
    <w:p w14:paraId="6BFA2FA7">
      <w:pPr>
        <w:pStyle w:val="58"/>
        <w:ind w:firstLine="420"/>
      </w:pPr>
      <w:r>
        <w:t>JTG/T 3350</w:t>
      </w:r>
      <w:r>
        <w:rPr>
          <w:rFonts w:hint="eastAsia"/>
        </w:rPr>
        <w:t>—</w:t>
      </w:r>
      <w:r>
        <w:t>03</w:t>
      </w:r>
      <w:r>
        <w:rPr>
          <w:rFonts w:hint="eastAsia"/>
        </w:rPr>
        <w:t>—</w:t>
      </w:r>
      <w:r>
        <w:t>2020</w:t>
      </w:r>
      <w:r>
        <w:rPr>
          <w:rFonts w:hint="eastAsia"/>
        </w:rPr>
        <w:t>　排水沥青路面设计与施工技术规范</w:t>
      </w:r>
    </w:p>
    <w:p w14:paraId="780308A2">
      <w:pPr>
        <w:pStyle w:val="58"/>
        <w:ind w:firstLine="420"/>
      </w:pPr>
      <w:r>
        <w:rPr>
          <w:rFonts w:hint="eastAsia"/>
        </w:rPr>
        <w:t>JTG 3432</w:t>
      </w:r>
      <w:bookmarkEnd w:id="58"/>
      <w:r>
        <w:rPr>
          <w:rFonts w:hint="eastAsia"/>
        </w:rPr>
        <w:t>—2024　公路工程集料试验规程</w:t>
      </w:r>
    </w:p>
    <w:p w14:paraId="276F2F81">
      <w:pPr>
        <w:pStyle w:val="58"/>
        <w:ind w:firstLine="420"/>
      </w:pPr>
      <w:r>
        <w:rPr>
          <w:rFonts w:hint="eastAsia"/>
        </w:rPr>
        <w:t>JTG 3450—2019</w:t>
      </w:r>
      <w:bookmarkStart w:id="60" w:name="OLE_LINK8"/>
      <w:bookmarkStart w:id="61" w:name="OLE_LINK5"/>
      <w:r>
        <w:rPr>
          <w:rFonts w:hint="eastAsia"/>
        </w:rPr>
        <w:t>　公路路基路面现场测试规程</w:t>
      </w:r>
      <w:bookmarkEnd w:id="60"/>
      <w:bookmarkEnd w:id="61"/>
    </w:p>
    <w:p w14:paraId="6F7E3D0E">
      <w:pPr>
        <w:pStyle w:val="58"/>
        <w:ind w:firstLine="420"/>
      </w:pPr>
      <w:r>
        <w:rPr>
          <w:rFonts w:hint="eastAsia"/>
        </w:rPr>
        <w:t>JT/T 533　沥青路面用纤维</w:t>
      </w:r>
    </w:p>
    <w:p w14:paraId="58F93014">
      <w:pPr>
        <w:pStyle w:val="58"/>
        <w:ind w:firstLine="420"/>
      </w:pPr>
      <w:r>
        <w:rPr>
          <w:rFonts w:hint="eastAsia"/>
        </w:rPr>
        <w:t>DB37/T 1722—2024　公路工程高性能沥青混合料施工技术规范</w:t>
      </w:r>
    </w:p>
    <w:p w14:paraId="6AB661FB">
      <w:pPr>
        <w:pStyle w:val="58"/>
        <w:ind w:firstLine="420"/>
      </w:pPr>
      <w:r>
        <w:rPr>
          <w:rFonts w:hint="eastAsia"/>
        </w:rPr>
        <w:t>DB37/T 4382　环保稳定型胶粉改性沥青及混合料施工技术规程</w:t>
      </w:r>
    </w:p>
    <w:bookmarkEnd w:id="59"/>
    <w:p w14:paraId="71D9B78B">
      <w:pPr>
        <w:pStyle w:val="106"/>
        <w:spacing w:before="312" w:after="312"/>
      </w:pPr>
      <w:bookmarkStart w:id="62" w:name="_Toc198816969"/>
      <w:bookmarkStart w:id="63" w:name="_Toc199251465"/>
      <w:bookmarkStart w:id="64" w:name="_Toc198815886"/>
      <w:bookmarkStart w:id="65" w:name="_Toc169879598"/>
      <w:bookmarkStart w:id="66" w:name="_Toc198802214"/>
      <w:bookmarkStart w:id="67" w:name="_Toc195012999"/>
      <w:bookmarkStart w:id="68" w:name="_Toc169703778"/>
      <w:r>
        <w:rPr>
          <w:rFonts w:hint="eastAsia"/>
          <w:szCs w:val="21"/>
        </w:rPr>
        <w:t>术语和定义</w:t>
      </w:r>
      <w:bookmarkEnd w:id="62"/>
      <w:bookmarkEnd w:id="63"/>
      <w:bookmarkEnd w:id="64"/>
      <w:bookmarkEnd w:id="65"/>
      <w:bookmarkEnd w:id="66"/>
      <w:bookmarkEnd w:id="67"/>
      <w:bookmarkEnd w:id="68"/>
    </w:p>
    <w:sdt>
      <w:sdtPr>
        <w:id w:val="-1909835108"/>
        <w:placeholder>
          <w:docPart w:val="B6C04ECD658C4D36A0E55EFDD044BE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6335C6">
          <w:pPr>
            <w:pStyle w:val="58"/>
            <w:ind w:firstLine="420"/>
          </w:pPr>
          <w:bookmarkStart w:id="69" w:name="_Toc26986532"/>
          <w:bookmarkEnd w:id="69"/>
          <w:r>
            <w:t>下列术语和定义适用于本文件。</w:t>
          </w:r>
        </w:p>
      </w:sdtContent>
    </w:sdt>
    <w:p w14:paraId="2112C486">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多级沥青结合料  multigrade asphalt cement</w:t>
      </w:r>
    </w:p>
    <w:p w14:paraId="680A091E">
      <w:pPr>
        <w:pStyle w:val="58"/>
        <w:ind w:firstLine="420"/>
      </w:pPr>
      <w:r>
        <w:rPr>
          <w:rFonts w:hint="eastAsia"/>
        </w:rPr>
        <w:t>在沥青中掺加改性剂，通过化学反应制成的沥青结合料，能使沥青低温和高温性能得以改善并适用于多种气候区域。</w:t>
      </w:r>
    </w:p>
    <w:p w14:paraId="640CA5D4">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橡胶胶粉改性沥青  rubber modified asphalt</w:t>
      </w:r>
    </w:p>
    <w:p w14:paraId="54429F5D">
      <w:pPr>
        <w:pStyle w:val="58"/>
        <w:ind w:firstLine="420"/>
      </w:pPr>
      <w:r>
        <w:rPr>
          <w:rFonts w:hint="eastAsia"/>
        </w:rPr>
        <w:t>将满足要求的路用胶粉、添加剂按比例掺入石油沥青，经过高温条件下搅拌、剪切、发育后制备满足相关技术指标的材料。</w:t>
      </w:r>
    </w:p>
    <w:p w14:paraId="1AE89B76">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大粒径透水性沥青混合料　large stone porous asphalt mixtures；LSPM</w:t>
      </w:r>
    </w:p>
    <w:p w14:paraId="68A0CE30">
      <w:pPr>
        <w:pStyle w:val="58"/>
        <w:ind w:firstLine="420"/>
      </w:pPr>
      <w:r>
        <w:rPr>
          <w:rFonts w:hint="eastAsia"/>
        </w:rPr>
        <w:t>沥青混合料公称最大粒径不小于19</w:t>
      </w:r>
      <w:r>
        <w:t> </w:t>
      </w:r>
      <w:r>
        <w:rPr>
          <w:rFonts w:hint="eastAsia"/>
        </w:rPr>
        <w:t>mm，空隙率在13％～18％，能够将水分自由排出路面结构的沥青混合料。</w:t>
      </w:r>
    </w:p>
    <w:p w14:paraId="7C12FCD9">
      <w:pPr>
        <w:pStyle w:val="106"/>
        <w:spacing w:before="312" w:after="312"/>
      </w:pPr>
      <w:bookmarkStart w:id="70" w:name="_Toc195013000"/>
      <w:bookmarkStart w:id="71" w:name="_Toc198802215"/>
      <w:bookmarkStart w:id="72" w:name="_Toc198815887"/>
      <w:bookmarkStart w:id="73" w:name="_Toc199251466"/>
      <w:bookmarkStart w:id="74" w:name="_Toc198816970"/>
      <w:bookmarkStart w:id="75" w:name="_Toc169879599"/>
      <w:r>
        <w:rPr>
          <w:rFonts w:hint="eastAsia"/>
        </w:rPr>
        <w:t>材料</w:t>
      </w:r>
      <w:bookmarkEnd w:id="70"/>
      <w:bookmarkEnd w:id="71"/>
      <w:bookmarkEnd w:id="72"/>
      <w:bookmarkEnd w:id="73"/>
      <w:bookmarkEnd w:id="74"/>
      <w:bookmarkEnd w:id="75"/>
    </w:p>
    <w:p w14:paraId="7F7B02DF">
      <w:pPr>
        <w:pStyle w:val="107"/>
        <w:spacing w:before="156" w:after="156"/>
      </w:pPr>
      <w:bookmarkStart w:id="76" w:name="_Toc198802216"/>
      <w:bookmarkStart w:id="77" w:name="_Toc199251467"/>
      <w:bookmarkStart w:id="78" w:name="_Toc195013001"/>
      <w:bookmarkStart w:id="79" w:name="_Toc198815888"/>
      <w:bookmarkStart w:id="80" w:name="_Toc198816971"/>
      <w:bookmarkStart w:id="81" w:name="_Toc169879600"/>
      <w:r>
        <w:rPr>
          <w:rFonts w:hint="eastAsia"/>
        </w:rPr>
        <w:t>通则</w:t>
      </w:r>
      <w:bookmarkEnd w:id="76"/>
      <w:bookmarkEnd w:id="77"/>
      <w:bookmarkEnd w:id="78"/>
      <w:bookmarkEnd w:id="79"/>
      <w:bookmarkEnd w:id="80"/>
      <w:bookmarkEnd w:id="81"/>
    </w:p>
    <w:p w14:paraId="2D2A1089">
      <w:pPr>
        <w:pStyle w:val="167"/>
        <w:ind w:left="0"/>
      </w:pPr>
      <w:r>
        <w:rPr>
          <w:rFonts w:hint="eastAsia"/>
        </w:rPr>
        <w:t>LSPM</w:t>
      </w:r>
      <w:bookmarkStart w:id="82" w:name="OLE_LINK6"/>
      <w:r>
        <w:rPr>
          <w:rFonts w:hint="eastAsia"/>
        </w:rPr>
        <w:t>材料应符合JTG F40的有关规定</w:t>
      </w:r>
      <w:bookmarkEnd w:id="82"/>
      <w:r>
        <w:rPr>
          <w:rFonts w:hint="eastAsia"/>
        </w:rPr>
        <w:t>。</w:t>
      </w:r>
    </w:p>
    <w:p w14:paraId="41C9246C">
      <w:pPr>
        <w:pStyle w:val="167"/>
        <w:ind w:left="0"/>
      </w:pPr>
      <w:bookmarkStart w:id="83" w:name="OLE_LINK10"/>
      <w:r>
        <w:rPr>
          <w:rFonts w:hint="eastAsia"/>
        </w:rPr>
        <w:t>同一规格的集料在配合比设计和生产过程中不可随意更换，若确需更换的应重新进行原材料检验及配合比设计</w:t>
      </w:r>
      <w:bookmarkEnd w:id="83"/>
      <w:r>
        <w:rPr>
          <w:rFonts w:hint="eastAsia"/>
        </w:rPr>
        <w:t>。</w:t>
      </w:r>
    </w:p>
    <w:p w14:paraId="5C87161B">
      <w:pPr>
        <w:pStyle w:val="167"/>
        <w:ind w:left="0"/>
      </w:pPr>
      <w:r>
        <w:rPr>
          <w:rFonts w:hint="eastAsia"/>
        </w:rPr>
        <w:t>LSPM混合料设计时宜优选棱角性好的粗、细集料。</w:t>
      </w:r>
    </w:p>
    <w:p w14:paraId="4567DF9A">
      <w:pPr>
        <w:pStyle w:val="107"/>
        <w:spacing w:before="156" w:after="156"/>
        <w:rPr>
          <w:color w:val="000000" w:themeColor="text1"/>
          <w14:textFill>
            <w14:solidFill>
              <w14:schemeClr w14:val="tx1"/>
            </w14:solidFill>
          </w14:textFill>
        </w:rPr>
      </w:pPr>
      <w:bookmarkStart w:id="84" w:name="_Toc198815889"/>
      <w:bookmarkStart w:id="85" w:name="_Toc198816972"/>
      <w:bookmarkStart w:id="86" w:name="_Toc195013002"/>
      <w:bookmarkStart w:id="87" w:name="_Toc199251468"/>
      <w:bookmarkStart w:id="88" w:name="_Toc198802217"/>
      <w:bookmarkStart w:id="89" w:name="_Toc169879601"/>
      <w:r>
        <w:rPr>
          <w:rFonts w:hint="eastAsia"/>
          <w:color w:val="000000" w:themeColor="text1"/>
          <w14:textFill>
            <w14:solidFill>
              <w14:schemeClr w14:val="tx1"/>
            </w14:solidFill>
          </w14:textFill>
        </w:rPr>
        <w:t>沥青胶结料</w:t>
      </w:r>
      <w:bookmarkEnd w:id="84"/>
      <w:bookmarkEnd w:id="85"/>
      <w:bookmarkEnd w:id="86"/>
      <w:bookmarkEnd w:id="87"/>
      <w:bookmarkEnd w:id="88"/>
      <w:bookmarkEnd w:id="89"/>
    </w:p>
    <w:p w14:paraId="3CF9EFF6">
      <w:pPr>
        <w:pStyle w:val="167"/>
        <w:ind w:left="0"/>
      </w:pPr>
      <w:r>
        <w:rPr>
          <w:rFonts w:hint="eastAsia"/>
        </w:rPr>
        <w:t>LSPM应选用粘度较高的沥青作为胶结料，宜选用SBS改性沥青、橡胶胶粉改性沥青、多级沥青或道路石油沥青。</w:t>
      </w:r>
    </w:p>
    <w:p w14:paraId="5B77821D">
      <w:pPr>
        <w:pStyle w:val="167"/>
        <w:ind w:left="0"/>
      </w:pPr>
      <w:r>
        <w:rPr>
          <w:rFonts w:hint="eastAsia"/>
        </w:rPr>
        <w:t>用于生产SBS改性沥青、橡胶胶粉</w:t>
      </w:r>
      <w:r>
        <w:rPr>
          <w:rFonts w:hint="eastAsia"/>
          <w:color w:val="000000" w:themeColor="text1"/>
          <w14:textFill>
            <w14:solidFill>
              <w14:schemeClr w14:val="tx1"/>
            </w14:solidFill>
          </w14:textFill>
        </w:rPr>
        <w:t>改性沥青和多级沥青</w:t>
      </w:r>
      <w:r>
        <w:rPr>
          <w:rFonts w:hint="eastAsia"/>
        </w:rPr>
        <w:t>的道路石油沥青应与改性剂具有良好的配伍性，其技术要求应符合JTG F40—2004关于A级道路石油沥青的有关规定。</w:t>
      </w:r>
    </w:p>
    <w:p w14:paraId="12C772E5">
      <w:pPr>
        <w:pStyle w:val="167"/>
        <w:ind w:left="0"/>
      </w:pPr>
      <w:r>
        <w:t>SBS</w:t>
      </w:r>
      <w:r>
        <w:rPr>
          <w:rFonts w:hint="eastAsia"/>
        </w:rPr>
        <w:t>改性沥青技术要求应符合</w:t>
      </w:r>
      <w:r>
        <w:t>JTG F40</w:t>
      </w:r>
      <w:r>
        <w:rPr>
          <w:rFonts w:hint="eastAsia"/>
        </w:rPr>
        <w:t>的有关规定。</w:t>
      </w:r>
    </w:p>
    <w:p w14:paraId="088F854D">
      <w:pPr>
        <w:pStyle w:val="167"/>
        <w:ind w:left="0"/>
      </w:pPr>
      <w:r>
        <w:rPr>
          <w:rFonts w:hint="eastAsia"/>
        </w:rPr>
        <w:t>橡胶胶粉改性沥青技术要求应符合</w:t>
      </w:r>
      <w:r>
        <w:t>DB37/T 4382</w:t>
      </w:r>
      <w:r>
        <w:rPr>
          <w:rFonts w:hint="eastAsia"/>
        </w:rPr>
        <w:t>的有关规定。</w:t>
      </w:r>
    </w:p>
    <w:p w14:paraId="04F980BE">
      <w:pPr>
        <w:pStyle w:val="167"/>
        <w:ind w:left="0"/>
      </w:pPr>
      <w:r>
        <w:rPr>
          <w:rFonts w:hint="eastAsia"/>
        </w:rPr>
        <w:t>多级沥青技术要求应符合表1的规定。</w:t>
      </w:r>
    </w:p>
    <w:p w14:paraId="72CC9B1D">
      <w:pPr>
        <w:pStyle w:val="114"/>
        <w:spacing w:before="156" w:after="156"/>
      </w:pPr>
      <w:r>
        <w:rPr>
          <w:rFonts w:hint="eastAsia"/>
        </w:rPr>
        <w:t>多级沥青结合料技术指标</w:t>
      </w:r>
    </w:p>
    <w:tbl>
      <w:tblPr>
        <w:tblStyle w:val="27"/>
        <w:tblW w:w="494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1418"/>
        <w:gridCol w:w="2409"/>
        <w:gridCol w:w="2553"/>
      </w:tblGrid>
      <w:tr w14:paraId="1C71A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tcBorders>
              <w:top w:val="single" w:color="auto" w:sz="8" w:space="0"/>
              <w:bottom w:val="single" w:color="auto" w:sz="8" w:space="0"/>
              <w:right w:val="single" w:color="auto" w:sz="4" w:space="0"/>
            </w:tcBorders>
            <w:shd w:val="clear" w:color="auto" w:fill="auto"/>
            <w:vAlign w:val="center"/>
          </w:tcPr>
          <w:p w14:paraId="2E679A2D">
            <w:pPr>
              <w:adjustRightInd/>
              <w:spacing w:line="240" w:lineRule="auto"/>
              <w:jc w:val="center"/>
              <w:rPr>
                <w:rFonts w:ascii="宋体" w:hAnsi="宋体"/>
                <w:sz w:val="18"/>
                <w:szCs w:val="18"/>
              </w:rPr>
            </w:pPr>
            <w:r>
              <w:rPr>
                <w:rFonts w:hint="eastAsia" w:ascii="宋体" w:hAnsi="宋体"/>
                <w:sz w:val="18"/>
                <w:szCs w:val="18"/>
              </w:rPr>
              <w:t>项目</w:t>
            </w:r>
          </w:p>
        </w:tc>
        <w:tc>
          <w:tcPr>
            <w:tcW w:w="1418" w:type="dxa"/>
            <w:tcBorders>
              <w:top w:val="single" w:color="auto" w:sz="8" w:space="0"/>
              <w:bottom w:val="single" w:color="auto" w:sz="4" w:space="0"/>
              <w:right w:val="single" w:color="auto" w:sz="4" w:space="0"/>
            </w:tcBorders>
            <w:vAlign w:val="center"/>
          </w:tcPr>
          <w:p w14:paraId="579286E4">
            <w:pPr>
              <w:adjustRightInd/>
              <w:spacing w:line="240" w:lineRule="auto"/>
              <w:jc w:val="center"/>
              <w:rPr>
                <w:rFonts w:ascii="宋体" w:hAnsi="宋体"/>
                <w:sz w:val="18"/>
                <w:szCs w:val="18"/>
              </w:rPr>
            </w:pPr>
            <w:r>
              <w:rPr>
                <w:rFonts w:hint="eastAsia" w:ascii="宋体" w:hAnsi="宋体"/>
                <w:sz w:val="18"/>
                <w:szCs w:val="18"/>
              </w:rPr>
              <w:t>单位</w:t>
            </w:r>
          </w:p>
        </w:tc>
        <w:tc>
          <w:tcPr>
            <w:tcW w:w="2409" w:type="dxa"/>
            <w:tcBorders>
              <w:top w:val="single" w:color="auto" w:sz="8" w:space="0"/>
              <w:left w:val="single" w:color="auto" w:sz="4" w:space="0"/>
              <w:bottom w:val="single" w:color="auto" w:sz="4" w:space="0"/>
            </w:tcBorders>
            <w:vAlign w:val="center"/>
          </w:tcPr>
          <w:p w14:paraId="2B4DAACD">
            <w:pPr>
              <w:adjustRightInd/>
              <w:spacing w:line="240" w:lineRule="auto"/>
              <w:jc w:val="center"/>
              <w:rPr>
                <w:rFonts w:ascii="宋体" w:hAnsi="宋体"/>
                <w:sz w:val="18"/>
                <w:szCs w:val="18"/>
              </w:rPr>
            </w:pPr>
            <w:r>
              <w:rPr>
                <w:rFonts w:hint="eastAsia" w:ascii="宋体" w:hAnsi="宋体"/>
                <w:sz w:val="18"/>
                <w:szCs w:val="18"/>
              </w:rPr>
              <w:t>技术要求</w:t>
            </w:r>
          </w:p>
        </w:tc>
        <w:tc>
          <w:tcPr>
            <w:tcW w:w="2552" w:type="dxa"/>
            <w:tcBorders>
              <w:top w:val="single" w:color="auto" w:sz="8" w:space="0"/>
              <w:bottom w:val="single" w:color="auto" w:sz="4" w:space="0"/>
            </w:tcBorders>
            <w:shd w:val="clear" w:color="auto" w:fill="auto"/>
            <w:vAlign w:val="center"/>
          </w:tcPr>
          <w:p w14:paraId="5D9E495F">
            <w:pPr>
              <w:adjustRightInd/>
              <w:spacing w:line="240" w:lineRule="auto"/>
              <w:jc w:val="center"/>
              <w:rPr>
                <w:rFonts w:ascii="宋体" w:hAnsi="宋体"/>
                <w:sz w:val="18"/>
                <w:szCs w:val="18"/>
              </w:rPr>
            </w:pPr>
            <w:r>
              <w:rPr>
                <w:rFonts w:hint="eastAsia" w:ascii="宋体" w:hAnsi="宋体"/>
                <w:sz w:val="18"/>
                <w:szCs w:val="18"/>
              </w:rPr>
              <w:t>试验方法</w:t>
            </w:r>
          </w:p>
        </w:tc>
      </w:tr>
      <w:tr w14:paraId="5084AD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tcBorders>
              <w:top w:val="single" w:color="auto" w:sz="8" w:space="0"/>
            </w:tcBorders>
            <w:shd w:val="clear" w:color="auto" w:fill="auto"/>
            <w:vAlign w:val="center"/>
          </w:tcPr>
          <w:p w14:paraId="4EEB6BA6">
            <w:pPr>
              <w:adjustRightInd/>
              <w:spacing w:line="240" w:lineRule="auto"/>
              <w:jc w:val="center"/>
              <w:rPr>
                <w:rFonts w:ascii="宋体" w:hAnsi="宋体"/>
                <w:sz w:val="18"/>
                <w:szCs w:val="18"/>
              </w:rPr>
            </w:pPr>
            <w:r>
              <w:rPr>
                <w:rFonts w:hint="eastAsia" w:ascii="宋体" w:hAnsi="宋体"/>
                <w:sz w:val="18"/>
                <w:szCs w:val="18"/>
              </w:rPr>
              <w:t>针入度（25</w:t>
            </w:r>
            <w:r>
              <w:rPr>
                <w:rFonts w:ascii="宋体" w:hAnsi="宋体"/>
                <w:sz w:val="18"/>
                <w:szCs w:val="18"/>
              </w:rPr>
              <w:t> </w:t>
            </w:r>
            <w:r>
              <w:rPr>
                <w:rFonts w:hint="eastAsia" w:ascii="宋体" w:hAnsi="宋体"/>
                <w:sz w:val="18"/>
                <w:szCs w:val="18"/>
              </w:rPr>
              <w:t>℃,100</w:t>
            </w:r>
            <w:r>
              <w:rPr>
                <w:rFonts w:ascii="宋体" w:hAnsi="宋体"/>
                <w:sz w:val="18"/>
                <w:szCs w:val="18"/>
              </w:rPr>
              <w:t> g</w:t>
            </w:r>
            <w:r>
              <w:rPr>
                <w:rFonts w:hint="eastAsia" w:ascii="宋体" w:hAnsi="宋体"/>
                <w:sz w:val="18"/>
                <w:szCs w:val="18"/>
              </w:rPr>
              <w:t>,</w:t>
            </w:r>
            <w:r>
              <w:rPr>
                <w:rFonts w:ascii="宋体" w:hAnsi="宋体"/>
                <w:sz w:val="18"/>
                <w:szCs w:val="18"/>
              </w:rPr>
              <w:t>5 s</w:t>
            </w:r>
            <w:r>
              <w:rPr>
                <w:rFonts w:hint="eastAsia" w:ascii="宋体" w:hAnsi="宋体"/>
                <w:sz w:val="18"/>
                <w:szCs w:val="18"/>
              </w:rPr>
              <w:t>）</w:t>
            </w:r>
          </w:p>
        </w:tc>
        <w:tc>
          <w:tcPr>
            <w:tcW w:w="1418" w:type="dxa"/>
            <w:tcBorders>
              <w:top w:val="single" w:color="auto" w:sz="8" w:space="0"/>
            </w:tcBorders>
            <w:vAlign w:val="center"/>
          </w:tcPr>
          <w:p w14:paraId="388DA38F">
            <w:pPr>
              <w:adjustRightInd/>
              <w:spacing w:line="240" w:lineRule="auto"/>
              <w:jc w:val="center"/>
              <w:rPr>
                <w:rFonts w:ascii="宋体" w:hAnsi="宋体"/>
                <w:sz w:val="18"/>
                <w:szCs w:val="18"/>
              </w:rPr>
            </w:pPr>
            <w:r>
              <w:rPr>
                <w:rFonts w:hint="eastAsia" w:ascii="宋体" w:hAnsi="宋体"/>
                <w:sz w:val="18"/>
                <w:szCs w:val="18"/>
              </w:rPr>
              <w:t>0.1</w:t>
            </w:r>
            <w:r>
              <w:rPr>
                <w:rFonts w:ascii="宋体" w:hAnsi="宋体"/>
                <w:sz w:val="18"/>
                <w:szCs w:val="18"/>
              </w:rPr>
              <w:t> </w:t>
            </w:r>
            <w:r>
              <w:rPr>
                <w:rFonts w:hint="eastAsia" w:ascii="宋体" w:hAnsi="宋体"/>
                <w:sz w:val="18"/>
                <w:szCs w:val="18"/>
              </w:rPr>
              <w:t>mm</w:t>
            </w:r>
          </w:p>
        </w:tc>
        <w:tc>
          <w:tcPr>
            <w:tcW w:w="2409" w:type="dxa"/>
            <w:tcBorders>
              <w:top w:val="single" w:color="auto" w:sz="8" w:space="0"/>
            </w:tcBorders>
            <w:vAlign w:val="center"/>
          </w:tcPr>
          <w:p w14:paraId="2CC88023">
            <w:pPr>
              <w:adjustRightInd/>
              <w:spacing w:line="240" w:lineRule="auto"/>
              <w:jc w:val="center"/>
              <w:rPr>
                <w:rFonts w:ascii="宋体" w:hAnsi="宋体"/>
                <w:sz w:val="18"/>
                <w:szCs w:val="18"/>
              </w:rPr>
            </w:pPr>
            <w:r>
              <w:rPr>
                <w:rFonts w:ascii="宋体" w:hAnsi="宋体"/>
                <w:sz w:val="18"/>
                <w:szCs w:val="18"/>
              </w:rPr>
              <w:t>35</w:t>
            </w:r>
            <w:r>
              <w:rPr>
                <w:rFonts w:hint="eastAsia" w:ascii="宋体" w:hAnsi="宋体"/>
                <w:sz w:val="18"/>
                <w:szCs w:val="18"/>
              </w:rPr>
              <w:t>～</w:t>
            </w:r>
            <w:r>
              <w:rPr>
                <w:rFonts w:ascii="宋体" w:hAnsi="宋体"/>
                <w:sz w:val="18"/>
                <w:szCs w:val="18"/>
              </w:rPr>
              <w:t>60</w:t>
            </w:r>
          </w:p>
        </w:tc>
        <w:tc>
          <w:tcPr>
            <w:tcW w:w="2552" w:type="dxa"/>
            <w:tcBorders>
              <w:top w:val="single" w:color="auto" w:sz="8" w:space="0"/>
            </w:tcBorders>
            <w:shd w:val="clear" w:color="auto" w:fill="auto"/>
            <w:vAlign w:val="center"/>
          </w:tcPr>
          <w:p w14:paraId="22E89ABB">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w:t>
            </w:r>
            <w:r>
              <w:rPr>
                <w:rFonts w:hint="eastAsia" w:ascii="宋体" w:hAnsi="宋体"/>
                <w:sz w:val="18"/>
                <w:szCs w:val="18"/>
              </w:rPr>
              <w:t>T0604</w:t>
            </w:r>
          </w:p>
        </w:tc>
      </w:tr>
      <w:tr w14:paraId="6B9D1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0D012933">
            <w:pPr>
              <w:adjustRightInd/>
              <w:spacing w:line="240" w:lineRule="auto"/>
              <w:jc w:val="center"/>
              <w:rPr>
                <w:rFonts w:ascii="宋体" w:hAnsi="宋体"/>
                <w:sz w:val="18"/>
                <w:szCs w:val="18"/>
              </w:rPr>
            </w:pPr>
            <w:r>
              <w:rPr>
                <w:rFonts w:hint="eastAsia" w:ascii="宋体" w:hAnsi="宋体"/>
                <w:sz w:val="18"/>
                <w:szCs w:val="18"/>
              </w:rPr>
              <w:t>针入度（4</w:t>
            </w:r>
            <w:r>
              <w:rPr>
                <w:rFonts w:ascii="宋体" w:hAnsi="宋体"/>
                <w:sz w:val="18"/>
                <w:szCs w:val="18"/>
              </w:rPr>
              <w:t> </w:t>
            </w:r>
            <w:r>
              <w:rPr>
                <w:rFonts w:hint="eastAsia" w:ascii="宋体" w:hAnsi="宋体"/>
                <w:sz w:val="18"/>
                <w:szCs w:val="18"/>
              </w:rPr>
              <w:t>℃,200</w:t>
            </w:r>
            <w:r>
              <w:rPr>
                <w:rFonts w:ascii="宋体" w:hAnsi="宋体"/>
                <w:sz w:val="18"/>
                <w:szCs w:val="18"/>
              </w:rPr>
              <w:t> g</w:t>
            </w:r>
            <w:r>
              <w:rPr>
                <w:rFonts w:hint="eastAsia" w:ascii="宋体" w:hAnsi="宋体"/>
                <w:sz w:val="18"/>
                <w:szCs w:val="18"/>
              </w:rPr>
              <w:t>,</w:t>
            </w:r>
            <w:r>
              <w:rPr>
                <w:rFonts w:ascii="宋体" w:hAnsi="宋体"/>
                <w:sz w:val="18"/>
                <w:szCs w:val="18"/>
              </w:rPr>
              <w:t>5 s</w:t>
            </w:r>
            <w:r>
              <w:rPr>
                <w:rFonts w:hint="eastAsia" w:ascii="宋体" w:hAnsi="宋体"/>
                <w:sz w:val="18"/>
                <w:szCs w:val="18"/>
              </w:rPr>
              <w:t>）</w:t>
            </w:r>
          </w:p>
        </w:tc>
        <w:tc>
          <w:tcPr>
            <w:tcW w:w="1418" w:type="dxa"/>
            <w:vAlign w:val="center"/>
          </w:tcPr>
          <w:p w14:paraId="00963C42">
            <w:pPr>
              <w:adjustRightInd/>
              <w:spacing w:line="240" w:lineRule="auto"/>
              <w:jc w:val="center"/>
              <w:rPr>
                <w:rFonts w:ascii="宋体" w:hAnsi="宋体"/>
                <w:sz w:val="18"/>
                <w:szCs w:val="18"/>
              </w:rPr>
            </w:pPr>
            <w:r>
              <w:rPr>
                <w:rFonts w:hint="eastAsia" w:ascii="宋体" w:hAnsi="宋体"/>
                <w:sz w:val="18"/>
                <w:szCs w:val="18"/>
              </w:rPr>
              <w:t>0.1</w:t>
            </w:r>
            <w:r>
              <w:rPr>
                <w:rFonts w:ascii="宋体" w:hAnsi="宋体"/>
                <w:sz w:val="18"/>
                <w:szCs w:val="18"/>
              </w:rPr>
              <w:t> </w:t>
            </w:r>
            <w:r>
              <w:rPr>
                <w:rFonts w:hint="eastAsia" w:ascii="宋体" w:hAnsi="宋体"/>
                <w:sz w:val="18"/>
                <w:szCs w:val="18"/>
              </w:rPr>
              <w:t>mm</w:t>
            </w:r>
          </w:p>
        </w:tc>
        <w:tc>
          <w:tcPr>
            <w:tcW w:w="2409" w:type="dxa"/>
            <w:vAlign w:val="center"/>
          </w:tcPr>
          <w:p w14:paraId="1E926255">
            <w:pPr>
              <w:adjustRightInd/>
              <w:spacing w:line="240" w:lineRule="auto"/>
              <w:jc w:val="center"/>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35</w:t>
            </w:r>
          </w:p>
        </w:tc>
        <w:tc>
          <w:tcPr>
            <w:tcW w:w="2552" w:type="dxa"/>
            <w:shd w:val="clear" w:color="auto" w:fill="auto"/>
            <w:vAlign w:val="center"/>
          </w:tcPr>
          <w:p w14:paraId="70D30CC0">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w:t>
            </w:r>
            <w:r>
              <w:rPr>
                <w:rFonts w:hint="eastAsia" w:ascii="宋体" w:hAnsi="宋体"/>
                <w:sz w:val="18"/>
                <w:szCs w:val="18"/>
              </w:rPr>
              <w:t>T0604</w:t>
            </w:r>
          </w:p>
        </w:tc>
      </w:tr>
      <w:tr w14:paraId="60A5D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05985604">
            <w:pPr>
              <w:adjustRightInd/>
              <w:spacing w:line="240" w:lineRule="auto"/>
              <w:jc w:val="center"/>
              <w:rPr>
                <w:rFonts w:ascii="宋体" w:hAnsi="宋体"/>
                <w:sz w:val="18"/>
                <w:szCs w:val="18"/>
              </w:rPr>
            </w:pPr>
            <w:r>
              <w:rPr>
                <w:rFonts w:hint="eastAsia" w:ascii="宋体" w:hAnsi="宋体"/>
                <w:sz w:val="18"/>
                <w:szCs w:val="18"/>
              </w:rPr>
              <w:t>软化点（R</w:t>
            </w:r>
            <w:r>
              <w:rPr>
                <w:rFonts w:ascii="宋体" w:hAnsi="宋体"/>
                <w:sz w:val="18"/>
                <w:szCs w:val="18"/>
              </w:rPr>
              <w:t>&amp;B</w:t>
            </w:r>
            <w:r>
              <w:rPr>
                <w:rFonts w:hint="eastAsia" w:ascii="宋体" w:hAnsi="宋体"/>
                <w:sz w:val="18"/>
                <w:szCs w:val="18"/>
              </w:rPr>
              <w:t>）</w:t>
            </w:r>
          </w:p>
        </w:tc>
        <w:tc>
          <w:tcPr>
            <w:tcW w:w="1418" w:type="dxa"/>
            <w:vAlign w:val="center"/>
          </w:tcPr>
          <w:p w14:paraId="40287C18">
            <w:pPr>
              <w:adjustRightInd/>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6C2D77BD">
            <w:pPr>
              <w:adjustRightInd/>
              <w:spacing w:line="240" w:lineRule="auto"/>
              <w:jc w:val="center"/>
              <w:rPr>
                <w:rFonts w:ascii="宋体" w:hAnsi="宋体"/>
                <w:sz w:val="18"/>
                <w:szCs w:val="18"/>
              </w:rPr>
            </w:pPr>
            <w:r>
              <w:rPr>
                <w:rFonts w:hint="eastAsia" w:ascii="宋体" w:hAnsi="宋体"/>
                <w:sz w:val="18"/>
                <w:szCs w:val="18"/>
              </w:rPr>
              <w:t>≥70</w:t>
            </w:r>
          </w:p>
        </w:tc>
        <w:tc>
          <w:tcPr>
            <w:tcW w:w="2552" w:type="dxa"/>
            <w:shd w:val="clear" w:color="auto" w:fill="auto"/>
            <w:vAlign w:val="center"/>
          </w:tcPr>
          <w:p w14:paraId="27577164">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T0606</w:t>
            </w:r>
          </w:p>
        </w:tc>
      </w:tr>
      <w:tr w14:paraId="0C0D7B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55AFC9D0">
            <w:pPr>
              <w:adjustRightInd/>
              <w:spacing w:line="240" w:lineRule="auto"/>
              <w:jc w:val="center"/>
              <w:rPr>
                <w:rFonts w:ascii="宋体" w:hAnsi="宋体"/>
                <w:sz w:val="18"/>
                <w:szCs w:val="18"/>
              </w:rPr>
            </w:pPr>
            <w:r>
              <w:rPr>
                <w:rFonts w:hint="eastAsia" w:ascii="宋体" w:hAnsi="宋体"/>
                <w:sz w:val="18"/>
                <w:szCs w:val="18"/>
              </w:rPr>
              <w:t>60</w:t>
            </w:r>
            <w:r>
              <w:rPr>
                <w:rFonts w:ascii="宋体" w:hAnsi="宋体"/>
                <w:sz w:val="18"/>
                <w:szCs w:val="18"/>
              </w:rPr>
              <w:t> </w:t>
            </w:r>
            <w:r>
              <w:rPr>
                <w:rFonts w:hint="eastAsia" w:ascii="宋体" w:hAnsi="宋体"/>
                <w:sz w:val="18"/>
                <w:szCs w:val="18"/>
              </w:rPr>
              <w:t>℃动力黏度</w:t>
            </w:r>
          </w:p>
        </w:tc>
        <w:tc>
          <w:tcPr>
            <w:tcW w:w="1418" w:type="dxa"/>
            <w:vAlign w:val="center"/>
          </w:tcPr>
          <w:p w14:paraId="53DE05C1">
            <w:pPr>
              <w:adjustRightInd/>
              <w:spacing w:line="240" w:lineRule="auto"/>
              <w:jc w:val="center"/>
              <w:rPr>
                <w:rFonts w:ascii="宋体" w:hAnsi="宋体"/>
                <w:sz w:val="18"/>
                <w:szCs w:val="18"/>
              </w:rPr>
            </w:pPr>
            <w:r>
              <w:rPr>
                <w:rFonts w:ascii="宋体" w:hAnsi="宋体"/>
                <w:sz w:val="18"/>
                <w:szCs w:val="18"/>
              </w:rPr>
              <w:t>Pa.s</w:t>
            </w:r>
          </w:p>
        </w:tc>
        <w:tc>
          <w:tcPr>
            <w:tcW w:w="2409" w:type="dxa"/>
            <w:vAlign w:val="center"/>
          </w:tcPr>
          <w:p w14:paraId="078FAB1D">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500</w:t>
            </w:r>
          </w:p>
        </w:tc>
        <w:tc>
          <w:tcPr>
            <w:tcW w:w="2552" w:type="dxa"/>
            <w:shd w:val="clear" w:color="auto" w:fill="auto"/>
            <w:vAlign w:val="center"/>
          </w:tcPr>
          <w:p w14:paraId="2DA41D86">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w:t>
            </w:r>
            <w:r>
              <w:rPr>
                <w:rFonts w:hint="eastAsia" w:ascii="宋体" w:hAnsi="宋体"/>
                <w:sz w:val="18"/>
                <w:szCs w:val="18"/>
              </w:rPr>
              <w:t>T</w:t>
            </w:r>
            <w:r>
              <w:rPr>
                <w:rFonts w:ascii="宋体" w:hAnsi="宋体"/>
                <w:sz w:val="18"/>
                <w:szCs w:val="18"/>
              </w:rPr>
              <w:t>0620</w:t>
            </w:r>
          </w:p>
        </w:tc>
      </w:tr>
      <w:tr w14:paraId="35C58F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7C3614E8">
            <w:pPr>
              <w:adjustRightInd/>
              <w:spacing w:line="240" w:lineRule="auto"/>
              <w:jc w:val="center"/>
              <w:rPr>
                <w:rFonts w:ascii="宋体" w:hAnsi="宋体"/>
                <w:sz w:val="18"/>
                <w:szCs w:val="18"/>
              </w:rPr>
            </w:pPr>
            <w:r>
              <w:rPr>
                <w:rFonts w:hint="eastAsia" w:ascii="宋体" w:hAnsi="宋体"/>
                <w:sz w:val="18"/>
                <w:szCs w:val="18"/>
              </w:rPr>
              <w:t>闪点</w:t>
            </w:r>
          </w:p>
        </w:tc>
        <w:tc>
          <w:tcPr>
            <w:tcW w:w="1418" w:type="dxa"/>
            <w:vAlign w:val="center"/>
          </w:tcPr>
          <w:p w14:paraId="41CD0629">
            <w:pPr>
              <w:adjustRightInd/>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717232BA">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45</w:t>
            </w:r>
          </w:p>
        </w:tc>
        <w:tc>
          <w:tcPr>
            <w:tcW w:w="2552" w:type="dxa"/>
            <w:shd w:val="clear" w:color="auto" w:fill="auto"/>
            <w:vAlign w:val="center"/>
          </w:tcPr>
          <w:p w14:paraId="4510EF9F">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w:t>
            </w:r>
            <w:r>
              <w:rPr>
                <w:rFonts w:hint="eastAsia" w:ascii="宋体" w:hAnsi="宋体"/>
                <w:sz w:val="18"/>
                <w:szCs w:val="18"/>
              </w:rPr>
              <w:t>T</w:t>
            </w:r>
            <w:r>
              <w:rPr>
                <w:rFonts w:ascii="宋体" w:hAnsi="宋体"/>
                <w:sz w:val="18"/>
                <w:szCs w:val="18"/>
              </w:rPr>
              <w:t>0611</w:t>
            </w:r>
          </w:p>
        </w:tc>
      </w:tr>
      <w:tr w14:paraId="5214D6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772DCB3B">
            <w:pPr>
              <w:adjustRightInd/>
              <w:spacing w:line="240" w:lineRule="auto"/>
              <w:jc w:val="center"/>
              <w:rPr>
                <w:rFonts w:ascii="宋体" w:hAnsi="宋体"/>
                <w:sz w:val="18"/>
                <w:szCs w:val="18"/>
              </w:rPr>
            </w:pPr>
            <w:r>
              <w:rPr>
                <w:rFonts w:hint="eastAsia" w:ascii="宋体" w:hAnsi="宋体"/>
                <w:sz w:val="18"/>
                <w:szCs w:val="18"/>
              </w:rPr>
              <w:t>溶解度</w:t>
            </w:r>
          </w:p>
        </w:tc>
        <w:tc>
          <w:tcPr>
            <w:tcW w:w="1418" w:type="dxa"/>
            <w:vAlign w:val="center"/>
          </w:tcPr>
          <w:p w14:paraId="32DA997C">
            <w:pPr>
              <w:adjustRightInd/>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073EF80D">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99</w:t>
            </w:r>
            <w:r>
              <w:rPr>
                <w:rFonts w:hint="eastAsia" w:ascii="宋体" w:hAnsi="宋体"/>
                <w:sz w:val="18"/>
                <w:szCs w:val="18"/>
              </w:rPr>
              <w:t>％</w:t>
            </w:r>
          </w:p>
        </w:tc>
        <w:tc>
          <w:tcPr>
            <w:tcW w:w="2552" w:type="dxa"/>
            <w:shd w:val="clear" w:color="auto" w:fill="auto"/>
            <w:vAlign w:val="center"/>
          </w:tcPr>
          <w:p w14:paraId="15BEC193">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T0607</w:t>
            </w:r>
          </w:p>
        </w:tc>
      </w:tr>
      <w:tr w14:paraId="5D21D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04712700">
            <w:pPr>
              <w:adjustRightInd/>
              <w:spacing w:line="240" w:lineRule="auto"/>
              <w:jc w:val="center"/>
              <w:rPr>
                <w:rFonts w:ascii="宋体" w:hAnsi="宋体"/>
                <w:sz w:val="18"/>
                <w:szCs w:val="18"/>
              </w:rPr>
            </w:pPr>
            <w:r>
              <w:rPr>
                <w:rFonts w:hint="eastAsia" w:ascii="宋体" w:hAnsi="宋体"/>
                <w:sz w:val="18"/>
                <w:szCs w:val="18"/>
              </w:rPr>
              <w:t>旋转薄膜烘箱试验(</w:t>
            </w:r>
            <w:r>
              <w:rPr>
                <w:rFonts w:ascii="宋体" w:hAnsi="宋体"/>
                <w:sz w:val="18"/>
                <w:szCs w:val="18"/>
              </w:rPr>
              <w:t>RTFOT</w:t>
            </w:r>
            <w:r>
              <w:rPr>
                <w:rFonts w:hint="eastAsia" w:ascii="宋体" w:hAnsi="宋体"/>
                <w:sz w:val="18"/>
                <w:szCs w:val="18"/>
              </w:rPr>
              <w:t>)后残留物</w:t>
            </w:r>
          </w:p>
        </w:tc>
        <w:tc>
          <w:tcPr>
            <w:tcW w:w="1418" w:type="dxa"/>
            <w:vAlign w:val="center"/>
          </w:tcPr>
          <w:p w14:paraId="03F1E3BA">
            <w:pPr>
              <w:adjustRightInd/>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71B9F6F0">
            <w:pPr>
              <w:adjustRightInd/>
              <w:spacing w:line="240" w:lineRule="auto"/>
              <w:jc w:val="center"/>
              <w:rPr>
                <w:rFonts w:ascii="宋体" w:hAnsi="宋体"/>
                <w:sz w:val="18"/>
                <w:szCs w:val="18"/>
              </w:rPr>
            </w:pPr>
            <w:r>
              <w:rPr>
                <w:rFonts w:hint="eastAsia" w:ascii="宋体" w:hAnsi="宋体"/>
                <w:sz w:val="18"/>
                <w:szCs w:val="18"/>
              </w:rPr>
              <w:t>—</w:t>
            </w:r>
          </w:p>
        </w:tc>
        <w:tc>
          <w:tcPr>
            <w:tcW w:w="2552" w:type="dxa"/>
            <w:shd w:val="clear" w:color="auto" w:fill="auto"/>
            <w:vAlign w:val="center"/>
          </w:tcPr>
          <w:p w14:paraId="06434103">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T0610</w:t>
            </w:r>
          </w:p>
        </w:tc>
      </w:tr>
      <w:tr w14:paraId="7B5C21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758BC9FF">
            <w:pPr>
              <w:adjustRightInd/>
              <w:spacing w:line="240" w:lineRule="auto"/>
              <w:jc w:val="center"/>
              <w:rPr>
                <w:rFonts w:ascii="宋体" w:hAnsi="宋体"/>
                <w:sz w:val="18"/>
                <w:szCs w:val="18"/>
              </w:rPr>
            </w:pPr>
            <w:r>
              <w:rPr>
                <w:rFonts w:hint="eastAsia" w:ascii="宋体" w:hAnsi="宋体"/>
                <w:sz w:val="18"/>
                <w:szCs w:val="18"/>
              </w:rPr>
              <w:t>质量损失</w:t>
            </w:r>
          </w:p>
        </w:tc>
        <w:tc>
          <w:tcPr>
            <w:tcW w:w="1418" w:type="dxa"/>
            <w:vAlign w:val="center"/>
          </w:tcPr>
          <w:p w14:paraId="0ED1394B">
            <w:pPr>
              <w:adjustRightInd/>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0B8FBD41">
            <w:pPr>
              <w:adjustRightInd/>
              <w:spacing w:line="240" w:lineRule="auto"/>
              <w:jc w:val="center"/>
              <w:rPr>
                <w:rFonts w:ascii="宋体" w:hAnsi="宋体"/>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＋1.0</w:t>
            </w:r>
            <w:r>
              <w:rPr>
                <w:rFonts w:hint="eastAsia" w:ascii="宋体" w:hAnsi="宋体"/>
                <w:sz w:val="18"/>
                <w:szCs w:val="18"/>
              </w:rPr>
              <w:t>％</w:t>
            </w:r>
          </w:p>
        </w:tc>
        <w:tc>
          <w:tcPr>
            <w:tcW w:w="2552" w:type="dxa"/>
            <w:shd w:val="clear" w:color="auto" w:fill="auto"/>
            <w:vAlign w:val="center"/>
          </w:tcPr>
          <w:p w14:paraId="245C1346">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T0610</w:t>
            </w:r>
          </w:p>
        </w:tc>
      </w:tr>
      <w:tr w14:paraId="362F96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85" w:type="dxa"/>
            <w:shd w:val="clear" w:color="auto" w:fill="auto"/>
            <w:vAlign w:val="center"/>
          </w:tcPr>
          <w:p w14:paraId="18895FE3">
            <w:pPr>
              <w:adjustRightInd/>
              <w:spacing w:line="240" w:lineRule="auto"/>
              <w:jc w:val="center"/>
              <w:rPr>
                <w:rFonts w:ascii="宋体" w:hAnsi="宋体"/>
                <w:sz w:val="18"/>
                <w:szCs w:val="18"/>
              </w:rPr>
            </w:pPr>
            <w:r>
              <w:rPr>
                <w:rFonts w:hint="eastAsia" w:ascii="宋体" w:hAnsi="宋体"/>
                <w:sz w:val="18"/>
                <w:szCs w:val="18"/>
              </w:rPr>
              <w:t>针入度比（25</w:t>
            </w:r>
            <w:r>
              <w:rPr>
                <w:rFonts w:ascii="宋体" w:hAnsi="宋体"/>
                <w:sz w:val="18"/>
                <w:szCs w:val="18"/>
              </w:rPr>
              <w:t> </w:t>
            </w:r>
            <w:r>
              <w:rPr>
                <w:rFonts w:hint="eastAsia" w:ascii="宋体" w:hAnsi="宋体"/>
                <w:sz w:val="18"/>
                <w:szCs w:val="18"/>
              </w:rPr>
              <w:t>℃）</w:t>
            </w:r>
          </w:p>
        </w:tc>
        <w:tc>
          <w:tcPr>
            <w:tcW w:w="1418" w:type="dxa"/>
            <w:vAlign w:val="center"/>
          </w:tcPr>
          <w:p w14:paraId="693033BF">
            <w:pPr>
              <w:adjustRightInd/>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793E0DA2">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70</w:t>
            </w:r>
            <w:r>
              <w:rPr>
                <w:rFonts w:hint="eastAsia" w:ascii="宋体" w:hAnsi="宋体"/>
                <w:sz w:val="18"/>
                <w:szCs w:val="18"/>
              </w:rPr>
              <w:t>％</w:t>
            </w:r>
          </w:p>
        </w:tc>
        <w:tc>
          <w:tcPr>
            <w:tcW w:w="2552" w:type="dxa"/>
            <w:shd w:val="clear" w:color="auto" w:fill="auto"/>
            <w:vAlign w:val="center"/>
          </w:tcPr>
          <w:p w14:paraId="5C9E0B97">
            <w:pPr>
              <w:adjustRightInd/>
              <w:spacing w:line="240" w:lineRule="auto"/>
              <w:jc w:val="center"/>
              <w:rPr>
                <w:rFonts w:ascii="宋体" w:hAnsi="宋体"/>
                <w:sz w:val="18"/>
                <w:szCs w:val="18"/>
              </w:rPr>
            </w:pPr>
            <w:r>
              <w:rPr>
                <w:rFonts w:hint="eastAsia" w:ascii="宋体" w:hAnsi="宋体"/>
                <w:sz w:val="18"/>
                <w:szCs w:val="18"/>
              </w:rPr>
              <w:t>JTG</w:t>
            </w:r>
            <w:r>
              <w:rPr>
                <w:rFonts w:ascii="宋体" w:hAnsi="宋体"/>
                <w:sz w:val="18"/>
                <w:szCs w:val="18"/>
              </w:rPr>
              <w:t xml:space="preserve"> </w:t>
            </w:r>
            <w:r>
              <w:rPr>
                <w:rFonts w:hint="eastAsia" w:ascii="宋体" w:hAnsi="宋体"/>
                <w:sz w:val="18"/>
                <w:szCs w:val="18"/>
              </w:rPr>
              <w:t>E</w:t>
            </w:r>
            <w:r>
              <w:rPr>
                <w:rFonts w:ascii="宋体" w:hAnsi="宋体"/>
                <w:sz w:val="18"/>
                <w:szCs w:val="18"/>
              </w:rPr>
              <w:t>20</w:t>
            </w:r>
            <w:r>
              <w:rPr>
                <w:rFonts w:hint="eastAsia" w:ascii="宋体" w:hAnsi="宋体"/>
                <w:sz w:val="18"/>
                <w:szCs w:val="18"/>
              </w:rPr>
              <w:t>—2011</w:t>
            </w:r>
            <w:r>
              <w:rPr>
                <w:rFonts w:ascii="宋体" w:hAnsi="宋体"/>
                <w:sz w:val="18"/>
                <w:szCs w:val="18"/>
              </w:rPr>
              <w:t xml:space="preserve"> T0604</w:t>
            </w:r>
          </w:p>
        </w:tc>
      </w:tr>
    </w:tbl>
    <w:p w14:paraId="5ABD80E6">
      <w:pPr>
        <w:pStyle w:val="107"/>
        <w:spacing w:before="156" w:after="156"/>
      </w:pPr>
      <w:bookmarkStart w:id="90" w:name="_Toc195013003"/>
      <w:bookmarkStart w:id="91" w:name="_Toc198816973"/>
      <w:bookmarkStart w:id="92" w:name="_Toc198802218"/>
      <w:bookmarkStart w:id="93" w:name="_Toc199251469"/>
      <w:bookmarkStart w:id="94" w:name="_Toc169879602"/>
      <w:bookmarkStart w:id="95" w:name="_Toc198815890"/>
      <w:r>
        <w:rPr>
          <w:rFonts w:hint="eastAsia"/>
        </w:rPr>
        <w:t>粗集料</w:t>
      </w:r>
      <w:bookmarkEnd w:id="90"/>
      <w:bookmarkEnd w:id="91"/>
      <w:bookmarkEnd w:id="92"/>
      <w:bookmarkEnd w:id="93"/>
      <w:bookmarkEnd w:id="94"/>
      <w:bookmarkEnd w:id="95"/>
    </w:p>
    <w:p w14:paraId="3306D4FE">
      <w:pPr>
        <w:pStyle w:val="167"/>
        <w:ind w:left="0"/>
      </w:pPr>
      <w:r>
        <w:rPr>
          <w:rFonts w:hint="eastAsia"/>
        </w:rPr>
        <w:t>LSPM用粗集料指轧制的坚硬岩石，应洁净、干燥、表面粗糙，其技术要求应符合表2的规定。</w:t>
      </w:r>
    </w:p>
    <w:p w14:paraId="2825DB28">
      <w:pPr>
        <w:pStyle w:val="114"/>
        <w:spacing w:before="156" w:after="156"/>
      </w:pPr>
      <w:r>
        <w:rPr>
          <w:rFonts w:hint="eastAsia"/>
        </w:rPr>
        <w:t>粗集料质量技术要求</w:t>
      </w:r>
    </w:p>
    <w:tbl>
      <w:tblPr>
        <w:tblStyle w:val="27"/>
        <w:tblW w:w="491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39"/>
        <w:gridCol w:w="992"/>
        <w:gridCol w:w="1843"/>
        <w:gridCol w:w="1417"/>
        <w:gridCol w:w="2516"/>
      </w:tblGrid>
      <w:tr w14:paraId="0AFC92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vMerge w:val="restart"/>
            <w:tcBorders>
              <w:top w:val="single" w:color="auto" w:sz="8" w:space="0"/>
              <w:bottom w:val="single" w:color="auto" w:sz="8" w:space="0"/>
              <w:right w:val="single" w:color="auto" w:sz="4" w:space="0"/>
            </w:tcBorders>
            <w:shd w:val="clear" w:color="auto" w:fill="auto"/>
            <w:vAlign w:val="center"/>
          </w:tcPr>
          <w:p w14:paraId="4F5560ED">
            <w:pPr>
              <w:adjustRightInd/>
              <w:spacing w:line="240" w:lineRule="auto"/>
              <w:jc w:val="center"/>
              <w:rPr>
                <w:rFonts w:ascii="宋体" w:hAnsi="宋体"/>
                <w:sz w:val="18"/>
                <w:szCs w:val="18"/>
              </w:rPr>
            </w:pPr>
            <w:r>
              <w:rPr>
                <w:rFonts w:hint="eastAsia" w:ascii="宋体" w:hAnsi="宋体"/>
                <w:sz w:val="18"/>
                <w:szCs w:val="18"/>
              </w:rPr>
              <w:t>项目</w:t>
            </w:r>
          </w:p>
        </w:tc>
        <w:tc>
          <w:tcPr>
            <w:tcW w:w="992" w:type="dxa"/>
            <w:vMerge w:val="restart"/>
            <w:tcBorders>
              <w:top w:val="single" w:color="auto" w:sz="8" w:space="0"/>
              <w:right w:val="single" w:color="auto" w:sz="4" w:space="0"/>
            </w:tcBorders>
            <w:vAlign w:val="center"/>
          </w:tcPr>
          <w:p w14:paraId="1974444F">
            <w:pPr>
              <w:adjustRightInd/>
              <w:spacing w:line="240" w:lineRule="auto"/>
              <w:jc w:val="center"/>
              <w:rPr>
                <w:rFonts w:ascii="宋体" w:hAnsi="宋体"/>
                <w:sz w:val="18"/>
                <w:szCs w:val="18"/>
              </w:rPr>
            </w:pPr>
            <w:r>
              <w:rPr>
                <w:rFonts w:hint="eastAsia" w:ascii="宋体" w:hAnsi="宋体"/>
                <w:sz w:val="18"/>
                <w:szCs w:val="18"/>
              </w:rPr>
              <w:t>单位</w:t>
            </w:r>
          </w:p>
        </w:tc>
        <w:tc>
          <w:tcPr>
            <w:tcW w:w="3260" w:type="dxa"/>
            <w:gridSpan w:val="2"/>
            <w:tcBorders>
              <w:top w:val="single" w:color="auto" w:sz="8" w:space="0"/>
              <w:left w:val="single" w:color="auto" w:sz="4" w:space="0"/>
              <w:bottom w:val="single" w:color="auto" w:sz="4" w:space="0"/>
            </w:tcBorders>
            <w:vAlign w:val="center"/>
          </w:tcPr>
          <w:p w14:paraId="1C6D46DE">
            <w:pPr>
              <w:adjustRightInd/>
              <w:spacing w:line="240" w:lineRule="auto"/>
              <w:jc w:val="center"/>
              <w:rPr>
                <w:rFonts w:ascii="宋体" w:hAnsi="宋体"/>
                <w:sz w:val="18"/>
                <w:szCs w:val="18"/>
              </w:rPr>
            </w:pPr>
            <w:r>
              <w:rPr>
                <w:rFonts w:hint="eastAsia" w:ascii="宋体" w:hAnsi="宋体"/>
                <w:sz w:val="18"/>
                <w:szCs w:val="18"/>
              </w:rPr>
              <w:t>技术要求</w:t>
            </w:r>
          </w:p>
        </w:tc>
        <w:tc>
          <w:tcPr>
            <w:tcW w:w="2516" w:type="dxa"/>
            <w:vMerge w:val="restart"/>
            <w:tcBorders>
              <w:top w:val="single" w:color="auto" w:sz="8" w:space="0"/>
              <w:bottom w:val="single" w:color="auto" w:sz="4" w:space="0"/>
            </w:tcBorders>
            <w:shd w:val="clear" w:color="auto" w:fill="auto"/>
            <w:vAlign w:val="center"/>
          </w:tcPr>
          <w:p w14:paraId="27448705">
            <w:pPr>
              <w:adjustRightInd/>
              <w:spacing w:line="240" w:lineRule="auto"/>
              <w:jc w:val="center"/>
              <w:rPr>
                <w:rFonts w:ascii="宋体" w:hAnsi="宋体"/>
                <w:sz w:val="18"/>
                <w:szCs w:val="18"/>
              </w:rPr>
            </w:pPr>
            <w:r>
              <w:rPr>
                <w:rFonts w:hint="eastAsia" w:ascii="宋体" w:hAnsi="宋体"/>
                <w:sz w:val="18"/>
                <w:szCs w:val="18"/>
              </w:rPr>
              <w:t>试验方法</w:t>
            </w:r>
          </w:p>
        </w:tc>
      </w:tr>
      <w:tr w14:paraId="15F1F7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vMerge w:val="continue"/>
            <w:tcBorders>
              <w:top w:val="single" w:color="auto" w:sz="8" w:space="0"/>
              <w:bottom w:val="single" w:color="auto" w:sz="8" w:space="0"/>
              <w:right w:val="single" w:color="auto" w:sz="4" w:space="0"/>
            </w:tcBorders>
            <w:shd w:val="clear" w:color="auto" w:fill="auto"/>
            <w:vAlign w:val="center"/>
          </w:tcPr>
          <w:p w14:paraId="168DF201">
            <w:pPr>
              <w:adjustRightInd/>
              <w:spacing w:line="240" w:lineRule="auto"/>
              <w:jc w:val="center"/>
              <w:rPr>
                <w:rFonts w:ascii="宋体" w:hAnsi="宋体"/>
                <w:sz w:val="18"/>
                <w:szCs w:val="18"/>
              </w:rPr>
            </w:pPr>
          </w:p>
        </w:tc>
        <w:tc>
          <w:tcPr>
            <w:tcW w:w="992" w:type="dxa"/>
            <w:vMerge w:val="continue"/>
            <w:tcBorders>
              <w:bottom w:val="single" w:color="auto" w:sz="8" w:space="0"/>
              <w:right w:val="single" w:color="auto" w:sz="4" w:space="0"/>
            </w:tcBorders>
            <w:vAlign w:val="center"/>
          </w:tcPr>
          <w:p w14:paraId="5E89C33D">
            <w:pPr>
              <w:adjustRightInd/>
              <w:spacing w:line="240" w:lineRule="auto"/>
              <w:jc w:val="center"/>
              <w:rPr>
                <w:rFonts w:ascii="宋体" w:hAnsi="宋体"/>
                <w:sz w:val="18"/>
                <w:szCs w:val="18"/>
              </w:rPr>
            </w:pPr>
          </w:p>
        </w:tc>
        <w:tc>
          <w:tcPr>
            <w:tcW w:w="1843" w:type="dxa"/>
            <w:tcBorders>
              <w:top w:val="single" w:color="auto" w:sz="4" w:space="0"/>
              <w:left w:val="single" w:color="auto" w:sz="4" w:space="0"/>
              <w:bottom w:val="single" w:color="auto" w:sz="8" w:space="0"/>
            </w:tcBorders>
            <w:vAlign w:val="center"/>
          </w:tcPr>
          <w:p w14:paraId="6613E1CF">
            <w:pPr>
              <w:adjustRightInd/>
              <w:spacing w:line="240" w:lineRule="auto"/>
              <w:jc w:val="center"/>
              <w:rPr>
                <w:rFonts w:ascii="宋体" w:hAnsi="宋体"/>
                <w:sz w:val="18"/>
                <w:szCs w:val="18"/>
              </w:rPr>
            </w:pPr>
            <w:r>
              <w:rPr>
                <w:rFonts w:hint="eastAsia" w:ascii="宋体" w:hAnsi="宋体"/>
                <w:sz w:val="18"/>
                <w:szCs w:val="18"/>
              </w:rPr>
              <w:t>高速公路及一级公路</w:t>
            </w:r>
          </w:p>
        </w:tc>
        <w:tc>
          <w:tcPr>
            <w:tcW w:w="1417" w:type="dxa"/>
            <w:tcBorders>
              <w:top w:val="single" w:color="auto" w:sz="4" w:space="0"/>
              <w:bottom w:val="single" w:color="auto" w:sz="8" w:space="0"/>
            </w:tcBorders>
            <w:shd w:val="clear" w:color="auto" w:fill="auto"/>
            <w:vAlign w:val="center"/>
          </w:tcPr>
          <w:p w14:paraId="23CABC8F">
            <w:pPr>
              <w:adjustRightInd/>
              <w:spacing w:line="240" w:lineRule="auto"/>
              <w:jc w:val="center"/>
              <w:rPr>
                <w:rFonts w:ascii="宋体" w:hAnsi="宋体"/>
                <w:sz w:val="18"/>
                <w:szCs w:val="18"/>
              </w:rPr>
            </w:pPr>
            <w:r>
              <w:rPr>
                <w:rFonts w:hint="eastAsia" w:ascii="宋体" w:hAnsi="宋体"/>
                <w:sz w:val="18"/>
                <w:szCs w:val="18"/>
              </w:rPr>
              <w:t>其他等级公路</w:t>
            </w:r>
          </w:p>
        </w:tc>
        <w:tc>
          <w:tcPr>
            <w:tcW w:w="2516" w:type="dxa"/>
            <w:vMerge w:val="continue"/>
            <w:tcBorders>
              <w:top w:val="single" w:color="auto" w:sz="4" w:space="0"/>
              <w:bottom w:val="single" w:color="auto" w:sz="8" w:space="0"/>
            </w:tcBorders>
            <w:shd w:val="clear" w:color="auto" w:fill="auto"/>
            <w:vAlign w:val="center"/>
          </w:tcPr>
          <w:p w14:paraId="33B0852E">
            <w:pPr>
              <w:adjustRightInd/>
              <w:spacing w:line="240" w:lineRule="auto"/>
              <w:jc w:val="center"/>
              <w:rPr>
                <w:rFonts w:ascii="宋体" w:hAnsi="宋体"/>
                <w:sz w:val="18"/>
                <w:szCs w:val="18"/>
              </w:rPr>
            </w:pPr>
          </w:p>
        </w:tc>
      </w:tr>
      <w:tr w14:paraId="2A633B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8" w:space="0"/>
              <w:bottom w:val="single" w:color="auto" w:sz="4" w:space="0"/>
            </w:tcBorders>
            <w:shd w:val="clear" w:color="auto" w:fill="auto"/>
            <w:vAlign w:val="center"/>
          </w:tcPr>
          <w:p w14:paraId="7EA80FCB">
            <w:pPr>
              <w:adjustRightInd/>
              <w:spacing w:line="240" w:lineRule="auto"/>
              <w:jc w:val="center"/>
              <w:rPr>
                <w:rFonts w:ascii="宋体" w:hAnsi="宋体"/>
                <w:sz w:val="18"/>
                <w:szCs w:val="18"/>
              </w:rPr>
            </w:pPr>
            <w:r>
              <w:rPr>
                <w:rFonts w:hint="eastAsia" w:ascii="宋体" w:hAnsi="宋体"/>
                <w:sz w:val="18"/>
                <w:szCs w:val="18"/>
              </w:rPr>
              <w:t>石料压碎值</w:t>
            </w:r>
          </w:p>
        </w:tc>
        <w:tc>
          <w:tcPr>
            <w:tcW w:w="992" w:type="dxa"/>
            <w:tcBorders>
              <w:top w:val="single" w:color="auto" w:sz="8" w:space="0"/>
              <w:bottom w:val="single" w:color="auto" w:sz="4" w:space="0"/>
            </w:tcBorders>
            <w:vAlign w:val="center"/>
          </w:tcPr>
          <w:p w14:paraId="1072D702">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8" w:space="0"/>
              <w:bottom w:val="single" w:color="auto" w:sz="4" w:space="0"/>
            </w:tcBorders>
            <w:vAlign w:val="center"/>
          </w:tcPr>
          <w:p w14:paraId="20AF2FBC">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24</w:t>
            </w:r>
            <w:r>
              <w:rPr>
                <w:rFonts w:hint="eastAsia" w:ascii="宋体" w:hAnsi="宋体"/>
                <w:sz w:val="18"/>
                <w:szCs w:val="18"/>
              </w:rPr>
              <w:t>％</w:t>
            </w:r>
          </w:p>
        </w:tc>
        <w:tc>
          <w:tcPr>
            <w:tcW w:w="1417" w:type="dxa"/>
            <w:tcBorders>
              <w:top w:val="single" w:color="auto" w:sz="8" w:space="0"/>
              <w:bottom w:val="single" w:color="auto" w:sz="4" w:space="0"/>
            </w:tcBorders>
            <w:shd w:val="clear" w:color="auto" w:fill="auto"/>
            <w:vAlign w:val="center"/>
          </w:tcPr>
          <w:p w14:paraId="7BC70820">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26</w:t>
            </w:r>
            <w:r>
              <w:rPr>
                <w:rFonts w:hint="eastAsia" w:ascii="宋体" w:hAnsi="宋体"/>
                <w:sz w:val="18"/>
                <w:szCs w:val="18"/>
              </w:rPr>
              <w:t>％</w:t>
            </w:r>
          </w:p>
        </w:tc>
        <w:tc>
          <w:tcPr>
            <w:tcW w:w="2516" w:type="dxa"/>
            <w:tcBorders>
              <w:top w:val="single" w:color="auto" w:sz="8" w:space="0"/>
              <w:bottom w:val="single" w:color="auto" w:sz="4" w:space="0"/>
            </w:tcBorders>
            <w:shd w:val="clear" w:color="auto" w:fill="auto"/>
            <w:vAlign w:val="center"/>
          </w:tcPr>
          <w:p w14:paraId="1D8FA2BF">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0316</w:t>
            </w:r>
          </w:p>
        </w:tc>
      </w:tr>
      <w:tr w14:paraId="1E59F7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4" w:space="0"/>
              <w:bottom w:val="single" w:color="auto" w:sz="4" w:space="0"/>
            </w:tcBorders>
            <w:shd w:val="clear" w:color="auto" w:fill="auto"/>
            <w:vAlign w:val="center"/>
          </w:tcPr>
          <w:p w14:paraId="3BE4D321">
            <w:pPr>
              <w:adjustRightInd/>
              <w:spacing w:line="240" w:lineRule="auto"/>
              <w:jc w:val="center"/>
              <w:rPr>
                <w:rFonts w:ascii="宋体" w:hAnsi="宋体"/>
                <w:sz w:val="18"/>
                <w:szCs w:val="18"/>
              </w:rPr>
            </w:pPr>
            <w:r>
              <w:rPr>
                <w:rFonts w:hint="eastAsia" w:ascii="宋体" w:hAnsi="宋体"/>
                <w:sz w:val="18"/>
                <w:szCs w:val="18"/>
              </w:rPr>
              <w:t>石料高温压碎值</w:t>
            </w:r>
          </w:p>
        </w:tc>
        <w:tc>
          <w:tcPr>
            <w:tcW w:w="992" w:type="dxa"/>
            <w:tcBorders>
              <w:top w:val="single" w:color="auto" w:sz="4" w:space="0"/>
              <w:bottom w:val="single" w:color="auto" w:sz="4" w:space="0"/>
            </w:tcBorders>
            <w:vAlign w:val="center"/>
          </w:tcPr>
          <w:p w14:paraId="54845A66">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4" w:space="0"/>
              <w:bottom w:val="single" w:color="auto" w:sz="4" w:space="0"/>
            </w:tcBorders>
            <w:vAlign w:val="center"/>
          </w:tcPr>
          <w:p w14:paraId="748CEAD8">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26</w:t>
            </w:r>
            <w:r>
              <w:rPr>
                <w:rFonts w:hint="eastAsia" w:ascii="宋体" w:hAnsi="宋体"/>
                <w:sz w:val="18"/>
                <w:szCs w:val="18"/>
              </w:rPr>
              <w:t>％</w:t>
            </w:r>
          </w:p>
        </w:tc>
        <w:tc>
          <w:tcPr>
            <w:tcW w:w="1417" w:type="dxa"/>
            <w:tcBorders>
              <w:top w:val="single" w:color="auto" w:sz="4" w:space="0"/>
              <w:bottom w:val="single" w:color="auto" w:sz="4" w:space="0"/>
            </w:tcBorders>
            <w:shd w:val="clear" w:color="auto" w:fill="auto"/>
            <w:vAlign w:val="center"/>
          </w:tcPr>
          <w:p w14:paraId="5D1A60F8">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28</w:t>
            </w:r>
            <w:r>
              <w:rPr>
                <w:rFonts w:hint="eastAsia" w:ascii="宋体" w:hAnsi="宋体"/>
                <w:sz w:val="18"/>
                <w:szCs w:val="18"/>
              </w:rPr>
              <w:t>％</w:t>
            </w:r>
          </w:p>
        </w:tc>
        <w:tc>
          <w:tcPr>
            <w:tcW w:w="2516" w:type="dxa"/>
            <w:tcBorders>
              <w:top w:val="single" w:color="auto" w:sz="4" w:space="0"/>
              <w:bottom w:val="single" w:color="auto" w:sz="4" w:space="0"/>
            </w:tcBorders>
            <w:shd w:val="clear" w:color="auto" w:fill="auto"/>
            <w:vAlign w:val="center"/>
          </w:tcPr>
          <w:p w14:paraId="5806F7B6">
            <w:pPr>
              <w:adjustRightInd/>
              <w:spacing w:line="240" w:lineRule="auto"/>
              <w:jc w:val="center"/>
              <w:rPr>
                <w:rFonts w:ascii="宋体" w:hAnsi="宋体"/>
                <w:sz w:val="18"/>
                <w:szCs w:val="18"/>
              </w:rPr>
            </w:pPr>
            <w:r>
              <w:rPr>
                <w:rFonts w:hint="eastAsia" w:ascii="宋体" w:hAnsi="宋体"/>
                <w:sz w:val="18"/>
                <w:szCs w:val="18"/>
              </w:rPr>
              <w:t>DB</w:t>
            </w:r>
            <w:r>
              <w:rPr>
                <w:rFonts w:ascii="宋体" w:hAnsi="宋体"/>
                <w:sz w:val="18"/>
                <w:szCs w:val="18"/>
              </w:rPr>
              <w:t>37/T</w:t>
            </w:r>
            <w:r>
              <w:rPr>
                <w:rFonts w:hint="eastAsia" w:ascii="宋体" w:hAnsi="宋体"/>
                <w:sz w:val="18"/>
                <w:szCs w:val="18"/>
              </w:rPr>
              <w:t xml:space="preserve"> </w:t>
            </w:r>
            <w:r>
              <w:rPr>
                <w:rFonts w:ascii="宋体" w:hAnsi="宋体"/>
                <w:sz w:val="18"/>
                <w:szCs w:val="18"/>
              </w:rPr>
              <w:t>1722</w:t>
            </w:r>
            <w:r>
              <w:rPr>
                <w:rFonts w:hint="eastAsia" w:ascii="宋体" w:hAnsi="宋体"/>
                <w:sz w:val="18"/>
                <w:szCs w:val="18"/>
              </w:rPr>
              <w:t>—2024 附录C</w:t>
            </w:r>
          </w:p>
        </w:tc>
      </w:tr>
      <w:tr w14:paraId="5987B4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4" w:space="0"/>
              <w:bottom w:val="single" w:color="auto" w:sz="4" w:space="0"/>
            </w:tcBorders>
            <w:shd w:val="clear" w:color="auto" w:fill="auto"/>
            <w:vAlign w:val="center"/>
          </w:tcPr>
          <w:p w14:paraId="7C7329A8">
            <w:pPr>
              <w:adjustRightInd/>
              <w:spacing w:line="240" w:lineRule="auto"/>
              <w:jc w:val="center"/>
              <w:rPr>
                <w:rFonts w:ascii="宋体" w:hAnsi="宋体"/>
                <w:sz w:val="18"/>
                <w:szCs w:val="18"/>
              </w:rPr>
            </w:pPr>
            <w:r>
              <w:rPr>
                <w:rFonts w:hint="eastAsia" w:ascii="宋体" w:hAnsi="宋体"/>
                <w:sz w:val="18"/>
                <w:szCs w:val="18"/>
              </w:rPr>
              <w:t>洛杉矶磨耗损失</w:t>
            </w:r>
          </w:p>
        </w:tc>
        <w:tc>
          <w:tcPr>
            <w:tcW w:w="992" w:type="dxa"/>
            <w:tcBorders>
              <w:top w:val="single" w:color="auto" w:sz="4" w:space="0"/>
              <w:bottom w:val="single" w:color="auto" w:sz="4" w:space="0"/>
            </w:tcBorders>
            <w:vAlign w:val="center"/>
          </w:tcPr>
          <w:p w14:paraId="69121CCC">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4" w:space="0"/>
              <w:bottom w:val="single" w:color="auto" w:sz="4" w:space="0"/>
            </w:tcBorders>
            <w:vAlign w:val="center"/>
          </w:tcPr>
          <w:p w14:paraId="76E7A73B">
            <w:pPr>
              <w:adjustRightInd/>
              <w:spacing w:line="240" w:lineRule="auto"/>
              <w:jc w:val="center"/>
              <w:rPr>
                <w:rFonts w:ascii="宋体" w:hAnsi="宋体"/>
                <w:sz w:val="18"/>
                <w:szCs w:val="18"/>
              </w:rPr>
            </w:pPr>
            <w:r>
              <w:rPr>
                <w:rFonts w:hint="eastAsia" w:ascii="宋体" w:hAnsi="宋体"/>
                <w:sz w:val="18"/>
                <w:szCs w:val="18"/>
              </w:rPr>
              <w:t>≤28％</w:t>
            </w:r>
          </w:p>
        </w:tc>
        <w:tc>
          <w:tcPr>
            <w:tcW w:w="1417" w:type="dxa"/>
            <w:tcBorders>
              <w:top w:val="single" w:color="auto" w:sz="4" w:space="0"/>
              <w:bottom w:val="single" w:color="auto" w:sz="4" w:space="0"/>
            </w:tcBorders>
            <w:shd w:val="clear" w:color="auto" w:fill="auto"/>
            <w:vAlign w:val="center"/>
          </w:tcPr>
          <w:p w14:paraId="30077C91">
            <w:pPr>
              <w:adjustRightInd/>
              <w:spacing w:line="240" w:lineRule="auto"/>
              <w:jc w:val="center"/>
              <w:rPr>
                <w:rFonts w:ascii="宋体" w:hAnsi="宋体"/>
                <w:sz w:val="18"/>
                <w:szCs w:val="18"/>
              </w:rPr>
            </w:pPr>
            <w:r>
              <w:rPr>
                <w:rFonts w:hint="eastAsia" w:ascii="宋体" w:hAnsi="宋体"/>
                <w:sz w:val="18"/>
                <w:szCs w:val="18"/>
              </w:rPr>
              <w:t>≤30％</w:t>
            </w:r>
          </w:p>
        </w:tc>
        <w:tc>
          <w:tcPr>
            <w:tcW w:w="2516" w:type="dxa"/>
            <w:tcBorders>
              <w:top w:val="single" w:color="auto" w:sz="4" w:space="0"/>
              <w:bottom w:val="single" w:color="auto" w:sz="4" w:space="0"/>
            </w:tcBorders>
            <w:shd w:val="clear" w:color="auto" w:fill="auto"/>
            <w:vAlign w:val="center"/>
          </w:tcPr>
          <w:p w14:paraId="2A42A383">
            <w:pPr>
              <w:adjustRightInd/>
              <w:spacing w:line="240" w:lineRule="auto"/>
              <w:jc w:val="center"/>
              <w:rPr>
                <w:rFonts w:ascii="宋体" w:hAnsi="宋体"/>
                <w:sz w:val="18"/>
                <w:szCs w:val="18"/>
              </w:rPr>
            </w:pPr>
            <w:r>
              <w:rPr>
                <w:rFonts w:hint="eastAsia" w:ascii="宋体" w:hAnsi="宋体"/>
                <w:sz w:val="18"/>
                <w:szCs w:val="18"/>
              </w:rPr>
              <w:t>JTG 3432—2024 T0317</w:t>
            </w:r>
          </w:p>
        </w:tc>
      </w:tr>
      <w:tr w14:paraId="016319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4" w:space="0"/>
              <w:bottom w:val="single" w:color="auto" w:sz="4" w:space="0"/>
            </w:tcBorders>
            <w:shd w:val="clear" w:color="auto" w:fill="auto"/>
            <w:vAlign w:val="center"/>
          </w:tcPr>
          <w:p w14:paraId="46229424">
            <w:pPr>
              <w:adjustRightInd/>
              <w:spacing w:line="240" w:lineRule="auto"/>
              <w:jc w:val="center"/>
              <w:rPr>
                <w:rFonts w:ascii="宋体" w:hAnsi="宋体"/>
                <w:sz w:val="18"/>
                <w:szCs w:val="18"/>
              </w:rPr>
            </w:pPr>
            <w:r>
              <w:rPr>
                <w:rFonts w:hint="eastAsia" w:ascii="宋体" w:hAnsi="宋体"/>
                <w:sz w:val="18"/>
                <w:szCs w:val="18"/>
              </w:rPr>
              <w:t>表观相对密度</w:t>
            </w:r>
            <w:r>
              <w:rPr>
                <w:rFonts w:hint="eastAsia" w:ascii="宋体" w:hAnsi="宋体"/>
                <w:sz w:val="18"/>
                <w:szCs w:val="18"/>
                <w:vertAlign w:val="superscript"/>
              </w:rPr>
              <w:t>a</w:t>
            </w:r>
          </w:p>
        </w:tc>
        <w:tc>
          <w:tcPr>
            <w:tcW w:w="992" w:type="dxa"/>
            <w:tcBorders>
              <w:top w:val="single" w:color="auto" w:sz="4" w:space="0"/>
              <w:bottom w:val="single" w:color="auto" w:sz="4" w:space="0"/>
            </w:tcBorders>
            <w:vAlign w:val="center"/>
          </w:tcPr>
          <w:p w14:paraId="379A064A">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4" w:space="0"/>
              <w:bottom w:val="single" w:color="auto" w:sz="4" w:space="0"/>
            </w:tcBorders>
            <w:vAlign w:val="center"/>
          </w:tcPr>
          <w:p w14:paraId="2AF01D3A">
            <w:pPr>
              <w:adjustRightInd/>
              <w:spacing w:line="240" w:lineRule="auto"/>
              <w:jc w:val="center"/>
              <w:rPr>
                <w:rFonts w:ascii="宋体" w:hAnsi="宋体"/>
                <w:sz w:val="18"/>
                <w:szCs w:val="18"/>
              </w:rPr>
            </w:pPr>
            <w:r>
              <w:rPr>
                <w:rFonts w:hint="eastAsia" w:ascii="宋体" w:hAnsi="宋体"/>
                <w:sz w:val="18"/>
                <w:szCs w:val="18"/>
              </w:rPr>
              <w:t>≥2.60</w:t>
            </w:r>
          </w:p>
        </w:tc>
        <w:tc>
          <w:tcPr>
            <w:tcW w:w="1417" w:type="dxa"/>
            <w:tcBorders>
              <w:top w:val="single" w:color="auto" w:sz="4" w:space="0"/>
              <w:bottom w:val="single" w:color="auto" w:sz="4" w:space="0"/>
            </w:tcBorders>
            <w:shd w:val="clear" w:color="auto" w:fill="auto"/>
            <w:vAlign w:val="center"/>
          </w:tcPr>
          <w:p w14:paraId="589DF377">
            <w:pPr>
              <w:adjustRightInd/>
              <w:spacing w:line="240" w:lineRule="auto"/>
              <w:jc w:val="center"/>
              <w:rPr>
                <w:rFonts w:ascii="宋体" w:hAnsi="宋体"/>
                <w:sz w:val="18"/>
                <w:szCs w:val="18"/>
              </w:rPr>
            </w:pPr>
            <w:r>
              <w:rPr>
                <w:rFonts w:hint="eastAsia" w:ascii="宋体" w:hAnsi="宋体"/>
                <w:sz w:val="18"/>
                <w:szCs w:val="18"/>
              </w:rPr>
              <w:t>≥2.50</w:t>
            </w:r>
          </w:p>
        </w:tc>
        <w:tc>
          <w:tcPr>
            <w:tcW w:w="2516" w:type="dxa"/>
            <w:tcBorders>
              <w:top w:val="single" w:color="auto" w:sz="4" w:space="0"/>
              <w:bottom w:val="single" w:color="auto" w:sz="4" w:space="0"/>
            </w:tcBorders>
            <w:shd w:val="clear" w:color="auto" w:fill="auto"/>
            <w:vAlign w:val="center"/>
          </w:tcPr>
          <w:p w14:paraId="3E91FB51">
            <w:pPr>
              <w:adjustRightInd/>
              <w:spacing w:line="240" w:lineRule="auto"/>
              <w:jc w:val="center"/>
              <w:rPr>
                <w:rFonts w:ascii="宋体" w:hAnsi="宋体"/>
                <w:sz w:val="18"/>
                <w:szCs w:val="18"/>
              </w:rPr>
            </w:pPr>
            <w:r>
              <w:rPr>
                <w:rFonts w:hint="eastAsia" w:ascii="宋体" w:hAnsi="宋体"/>
                <w:sz w:val="18"/>
                <w:szCs w:val="18"/>
              </w:rPr>
              <w:t>JTG 3432—2024 T0304</w:t>
            </w:r>
          </w:p>
        </w:tc>
      </w:tr>
      <w:tr w14:paraId="70BE2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4" w:space="0"/>
              <w:bottom w:val="single" w:color="auto" w:sz="4" w:space="0"/>
            </w:tcBorders>
            <w:shd w:val="clear" w:color="auto" w:fill="auto"/>
            <w:vAlign w:val="center"/>
          </w:tcPr>
          <w:p w14:paraId="51C8FF5A">
            <w:pPr>
              <w:adjustRightInd/>
              <w:spacing w:line="240" w:lineRule="auto"/>
              <w:jc w:val="center"/>
              <w:rPr>
                <w:rFonts w:ascii="宋体" w:hAnsi="宋体"/>
                <w:sz w:val="18"/>
                <w:szCs w:val="18"/>
              </w:rPr>
            </w:pPr>
            <w:r>
              <w:rPr>
                <w:rFonts w:hint="eastAsia" w:ascii="宋体" w:hAnsi="宋体"/>
                <w:sz w:val="18"/>
                <w:szCs w:val="18"/>
              </w:rPr>
              <w:t>吸水率</w:t>
            </w:r>
            <w:r>
              <w:rPr>
                <w:rFonts w:hint="eastAsia" w:ascii="宋体" w:hAnsi="宋体"/>
                <w:sz w:val="18"/>
                <w:szCs w:val="18"/>
                <w:vertAlign w:val="superscript"/>
              </w:rPr>
              <w:t>a</w:t>
            </w:r>
            <w:r>
              <w:rPr>
                <w:rFonts w:hint="eastAsia" w:ascii="宋体" w:hAnsi="宋体"/>
                <w:sz w:val="18"/>
                <w:szCs w:val="18"/>
              </w:rPr>
              <w:t xml:space="preserve"> </w:t>
            </w:r>
          </w:p>
        </w:tc>
        <w:tc>
          <w:tcPr>
            <w:tcW w:w="992" w:type="dxa"/>
            <w:tcBorders>
              <w:top w:val="single" w:color="auto" w:sz="4" w:space="0"/>
              <w:bottom w:val="single" w:color="auto" w:sz="4" w:space="0"/>
            </w:tcBorders>
            <w:vAlign w:val="center"/>
          </w:tcPr>
          <w:p w14:paraId="26F90826">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4" w:space="0"/>
              <w:bottom w:val="single" w:color="auto" w:sz="4" w:space="0"/>
            </w:tcBorders>
            <w:vAlign w:val="center"/>
          </w:tcPr>
          <w:p w14:paraId="3ABA60B0">
            <w:pPr>
              <w:adjustRightInd/>
              <w:spacing w:line="240" w:lineRule="auto"/>
              <w:jc w:val="center"/>
              <w:rPr>
                <w:rFonts w:ascii="宋体" w:hAnsi="宋体"/>
                <w:sz w:val="18"/>
                <w:szCs w:val="18"/>
              </w:rPr>
            </w:pPr>
            <w:r>
              <w:rPr>
                <w:rFonts w:hint="eastAsia" w:ascii="宋体" w:hAnsi="宋体"/>
                <w:sz w:val="18"/>
                <w:szCs w:val="18"/>
              </w:rPr>
              <w:t>≤2.0％</w:t>
            </w:r>
          </w:p>
        </w:tc>
        <w:tc>
          <w:tcPr>
            <w:tcW w:w="1417" w:type="dxa"/>
            <w:tcBorders>
              <w:top w:val="single" w:color="auto" w:sz="4" w:space="0"/>
              <w:bottom w:val="single" w:color="auto" w:sz="4" w:space="0"/>
            </w:tcBorders>
            <w:shd w:val="clear" w:color="auto" w:fill="auto"/>
            <w:vAlign w:val="center"/>
          </w:tcPr>
          <w:p w14:paraId="1B1C1356">
            <w:pPr>
              <w:adjustRightInd/>
              <w:spacing w:line="240" w:lineRule="auto"/>
              <w:jc w:val="center"/>
              <w:rPr>
                <w:rFonts w:ascii="宋体" w:hAnsi="宋体"/>
                <w:sz w:val="18"/>
                <w:szCs w:val="18"/>
              </w:rPr>
            </w:pPr>
            <w:r>
              <w:rPr>
                <w:rFonts w:hint="eastAsia" w:ascii="宋体" w:hAnsi="宋体"/>
                <w:sz w:val="18"/>
                <w:szCs w:val="18"/>
              </w:rPr>
              <w:t>≤3.0％</w:t>
            </w:r>
          </w:p>
        </w:tc>
        <w:tc>
          <w:tcPr>
            <w:tcW w:w="2516" w:type="dxa"/>
            <w:tcBorders>
              <w:top w:val="single" w:color="auto" w:sz="4" w:space="0"/>
              <w:bottom w:val="single" w:color="auto" w:sz="4" w:space="0"/>
            </w:tcBorders>
            <w:shd w:val="clear" w:color="auto" w:fill="auto"/>
            <w:vAlign w:val="center"/>
          </w:tcPr>
          <w:p w14:paraId="1F1E8417">
            <w:pPr>
              <w:adjustRightInd/>
              <w:spacing w:line="240" w:lineRule="auto"/>
              <w:jc w:val="center"/>
              <w:rPr>
                <w:rFonts w:ascii="宋体" w:hAnsi="宋体"/>
                <w:sz w:val="18"/>
                <w:szCs w:val="18"/>
              </w:rPr>
            </w:pPr>
            <w:r>
              <w:rPr>
                <w:rFonts w:hint="eastAsia" w:ascii="宋体" w:hAnsi="宋体"/>
                <w:sz w:val="18"/>
                <w:szCs w:val="18"/>
              </w:rPr>
              <w:t>JTG 3432—2024 T0304</w:t>
            </w:r>
          </w:p>
        </w:tc>
      </w:tr>
      <w:tr w14:paraId="1DB25E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4" w:space="0"/>
              <w:bottom w:val="single" w:color="auto" w:sz="4" w:space="0"/>
            </w:tcBorders>
            <w:shd w:val="clear" w:color="auto" w:fill="auto"/>
            <w:vAlign w:val="center"/>
          </w:tcPr>
          <w:p w14:paraId="493F430C">
            <w:pPr>
              <w:adjustRightInd/>
              <w:spacing w:line="240" w:lineRule="auto"/>
              <w:jc w:val="center"/>
              <w:rPr>
                <w:rFonts w:ascii="宋体" w:hAnsi="宋体"/>
                <w:sz w:val="18"/>
                <w:szCs w:val="18"/>
              </w:rPr>
            </w:pPr>
            <w:r>
              <w:rPr>
                <w:rFonts w:hint="eastAsia" w:ascii="宋体" w:hAnsi="宋体"/>
                <w:sz w:val="18"/>
                <w:szCs w:val="18"/>
              </w:rPr>
              <w:t>坚固性</w:t>
            </w:r>
            <w:r>
              <w:rPr>
                <w:rFonts w:hint="eastAsia" w:ascii="宋体" w:hAnsi="宋体"/>
                <w:sz w:val="18"/>
                <w:szCs w:val="18"/>
                <w:vertAlign w:val="superscript"/>
              </w:rPr>
              <w:t>b</w:t>
            </w:r>
          </w:p>
        </w:tc>
        <w:tc>
          <w:tcPr>
            <w:tcW w:w="992" w:type="dxa"/>
            <w:tcBorders>
              <w:top w:val="single" w:color="auto" w:sz="4" w:space="0"/>
              <w:bottom w:val="single" w:color="auto" w:sz="4" w:space="0"/>
            </w:tcBorders>
            <w:vAlign w:val="center"/>
          </w:tcPr>
          <w:p w14:paraId="1AFC1195">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4" w:space="0"/>
              <w:bottom w:val="single" w:color="auto" w:sz="4" w:space="0"/>
            </w:tcBorders>
            <w:vAlign w:val="center"/>
          </w:tcPr>
          <w:p w14:paraId="533B3C06">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w:t>
            </w:r>
          </w:p>
        </w:tc>
        <w:tc>
          <w:tcPr>
            <w:tcW w:w="1417" w:type="dxa"/>
            <w:tcBorders>
              <w:top w:val="single" w:color="auto" w:sz="4" w:space="0"/>
              <w:bottom w:val="single" w:color="auto" w:sz="4" w:space="0"/>
            </w:tcBorders>
            <w:shd w:val="clear" w:color="auto" w:fill="auto"/>
            <w:vAlign w:val="center"/>
          </w:tcPr>
          <w:p w14:paraId="227A832E">
            <w:pPr>
              <w:adjustRightInd/>
              <w:spacing w:line="240" w:lineRule="auto"/>
              <w:jc w:val="center"/>
              <w:rPr>
                <w:rFonts w:ascii="宋体" w:hAnsi="宋体"/>
                <w:sz w:val="18"/>
                <w:szCs w:val="18"/>
              </w:rPr>
            </w:pPr>
            <w:r>
              <w:rPr>
                <w:rFonts w:hint="eastAsia" w:ascii="宋体" w:hAnsi="宋体"/>
                <w:sz w:val="18"/>
                <w:szCs w:val="18"/>
              </w:rPr>
              <w:t>—</w:t>
            </w:r>
          </w:p>
        </w:tc>
        <w:tc>
          <w:tcPr>
            <w:tcW w:w="2516" w:type="dxa"/>
            <w:tcBorders>
              <w:top w:val="single" w:color="auto" w:sz="4" w:space="0"/>
              <w:bottom w:val="single" w:color="auto" w:sz="4" w:space="0"/>
            </w:tcBorders>
            <w:shd w:val="clear" w:color="auto" w:fill="auto"/>
            <w:vAlign w:val="center"/>
          </w:tcPr>
          <w:p w14:paraId="51073CBF">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0314</w:t>
            </w:r>
          </w:p>
        </w:tc>
      </w:tr>
      <w:tr w14:paraId="149E97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639" w:type="dxa"/>
            <w:tcBorders>
              <w:top w:val="single" w:color="auto" w:sz="4" w:space="0"/>
              <w:bottom w:val="single" w:color="auto" w:sz="8" w:space="0"/>
            </w:tcBorders>
            <w:shd w:val="clear" w:color="auto" w:fill="auto"/>
            <w:vAlign w:val="center"/>
          </w:tcPr>
          <w:p w14:paraId="5EE7E7C5">
            <w:pPr>
              <w:adjustRightInd/>
              <w:spacing w:line="240" w:lineRule="auto"/>
              <w:jc w:val="center"/>
              <w:rPr>
                <w:rFonts w:ascii="宋体" w:hAnsi="宋体"/>
                <w:sz w:val="18"/>
                <w:szCs w:val="18"/>
              </w:rPr>
            </w:pPr>
            <w:r>
              <w:rPr>
                <w:rFonts w:hint="eastAsia" w:ascii="宋体" w:hAnsi="宋体"/>
                <w:sz w:val="18"/>
                <w:szCs w:val="18"/>
              </w:rPr>
              <w:t>与沥青的粘附性</w:t>
            </w:r>
          </w:p>
        </w:tc>
        <w:tc>
          <w:tcPr>
            <w:tcW w:w="992" w:type="dxa"/>
            <w:tcBorders>
              <w:top w:val="single" w:color="auto" w:sz="4" w:space="0"/>
              <w:bottom w:val="single" w:color="auto" w:sz="8" w:space="0"/>
            </w:tcBorders>
            <w:vAlign w:val="center"/>
          </w:tcPr>
          <w:p w14:paraId="01B35C3E">
            <w:pPr>
              <w:adjustRightInd/>
              <w:spacing w:line="240" w:lineRule="auto"/>
              <w:jc w:val="center"/>
              <w:rPr>
                <w:rFonts w:ascii="宋体" w:hAnsi="宋体"/>
                <w:sz w:val="18"/>
                <w:szCs w:val="18"/>
              </w:rPr>
            </w:pPr>
            <w:r>
              <w:rPr>
                <w:rFonts w:hint="eastAsia" w:ascii="宋体" w:hAnsi="宋体"/>
                <w:sz w:val="18"/>
                <w:szCs w:val="18"/>
              </w:rPr>
              <w:t>级</w:t>
            </w:r>
          </w:p>
        </w:tc>
        <w:tc>
          <w:tcPr>
            <w:tcW w:w="1843" w:type="dxa"/>
            <w:tcBorders>
              <w:top w:val="single" w:color="auto" w:sz="4" w:space="0"/>
              <w:bottom w:val="single" w:color="auto" w:sz="8" w:space="0"/>
            </w:tcBorders>
            <w:vAlign w:val="center"/>
          </w:tcPr>
          <w:p w14:paraId="58E66AAC">
            <w:pPr>
              <w:adjustRightInd/>
              <w:spacing w:line="240" w:lineRule="auto"/>
              <w:jc w:val="center"/>
              <w:rPr>
                <w:rFonts w:ascii="宋体" w:hAnsi="宋体"/>
                <w:sz w:val="18"/>
                <w:szCs w:val="18"/>
              </w:rPr>
            </w:pPr>
            <w:r>
              <w:rPr>
                <w:rFonts w:hint="eastAsia" w:ascii="宋体" w:hAnsi="宋体"/>
                <w:sz w:val="18"/>
                <w:szCs w:val="18"/>
              </w:rPr>
              <w:t>≥4</w:t>
            </w:r>
          </w:p>
        </w:tc>
        <w:tc>
          <w:tcPr>
            <w:tcW w:w="1417" w:type="dxa"/>
            <w:tcBorders>
              <w:top w:val="single" w:color="auto" w:sz="4" w:space="0"/>
              <w:bottom w:val="single" w:color="auto" w:sz="8" w:space="0"/>
            </w:tcBorders>
            <w:shd w:val="clear" w:color="auto" w:fill="auto"/>
            <w:vAlign w:val="center"/>
          </w:tcPr>
          <w:p w14:paraId="1A973283">
            <w:pPr>
              <w:adjustRightInd/>
              <w:spacing w:line="240" w:lineRule="auto"/>
              <w:jc w:val="center"/>
              <w:rPr>
                <w:rFonts w:ascii="宋体" w:hAnsi="宋体"/>
                <w:sz w:val="18"/>
                <w:szCs w:val="18"/>
              </w:rPr>
            </w:pPr>
            <w:r>
              <w:rPr>
                <w:rFonts w:hint="eastAsia" w:ascii="宋体" w:hAnsi="宋体"/>
                <w:sz w:val="18"/>
                <w:szCs w:val="18"/>
              </w:rPr>
              <w:t>≥4</w:t>
            </w:r>
          </w:p>
        </w:tc>
        <w:tc>
          <w:tcPr>
            <w:tcW w:w="2516" w:type="dxa"/>
            <w:tcBorders>
              <w:top w:val="single" w:color="auto" w:sz="4" w:space="0"/>
              <w:bottom w:val="single" w:color="auto" w:sz="8" w:space="0"/>
            </w:tcBorders>
            <w:shd w:val="clear" w:color="auto" w:fill="auto"/>
            <w:vAlign w:val="center"/>
          </w:tcPr>
          <w:p w14:paraId="357996E5">
            <w:pPr>
              <w:adjustRightInd/>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w:t>
            </w:r>
            <w:r>
              <w:rPr>
                <w:rFonts w:ascii="宋体" w:hAnsi="宋体"/>
                <w:sz w:val="18"/>
                <w:szCs w:val="18"/>
              </w:rPr>
              <w:t>2011 T0616</w:t>
            </w:r>
          </w:p>
        </w:tc>
      </w:tr>
    </w:tbl>
    <w:p w14:paraId="232F6774">
      <w:pPr>
        <w:pStyle w:val="58"/>
        <w:ind w:firstLine="420"/>
      </w:pPr>
    </w:p>
    <w:p w14:paraId="6CA09F69">
      <w:pPr>
        <w:pStyle w:val="114"/>
        <w:numPr>
          <w:ilvl w:val="0"/>
          <w:numId w:val="0"/>
        </w:numPr>
        <w:spacing w:before="156" w:after="156"/>
      </w:pPr>
      <w:r>
        <w:rPr>
          <w:rFonts w:hint="eastAsia"/>
        </w:rPr>
        <w:t>表2　粗集料质量技术要求</w:t>
      </w:r>
      <w:r>
        <w:rPr>
          <w:rFonts w:hint="eastAsia" w:ascii="宋体" w:hAnsi="宋体" w:eastAsia="宋体"/>
        </w:rPr>
        <w:t>（续）</w:t>
      </w:r>
    </w:p>
    <w:tbl>
      <w:tblPr>
        <w:tblStyle w:val="27"/>
        <w:tblW w:w="494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95"/>
        <w:gridCol w:w="992"/>
        <w:gridCol w:w="1843"/>
        <w:gridCol w:w="1417"/>
        <w:gridCol w:w="2516"/>
      </w:tblGrid>
      <w:tr w14:paraId="1544CA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95" w:type="dxa"/>
            <w:vMerge w:val="restart"/>
            <w:tcBorders>
              <w:top w:val="single" w:color="auto" w:sz="8" w:space="0"/>
              <w:bottom w:val="single" w:color="auto" w:sz="8" w:space="0"/>
              <w:right w:val="single" w:color="auto" w:sz="4" w:space="0"/>
            </w:tcBorders>
            <w:shd w:val="clear" w:color="auto" w:fill="auto"/>
            <w:vAlign w:val="center"/>
          </w:tcPr>
          <w:p w14:paraId="691069EA">
            <w:pPr>
              <w:adjustRightInd/>
              <w:spacing w:line="240" w:lineRule="auto"/>
              <w:jc w:val="center"/>
              <w:rPr>
                <w:rFonts w:ascii="宋体" w:hAnsi="宋体"/>
                <w:sz w:val="18"/>
                <w:szCs w:val="18"/>
              </w:rPr>
            </w:pPr>
            <w:r>
              <w:rPr>
                <w:rFonts w:hint="eastAsia" w:ascii="宋体" w:hAnsi="宋体"/>
                <w:sz w:val="18"/>
                <w:szCs w:val="18"/>
              </w:rPr>
              <w:t>项目</w:t>
            </w:r>
          </w:p>
        </w:tc>
        <w:tc>
          <w:tcPr>
            <w:tcW w:w="992" w:type="dxa"/>
            <w:vMerge w:val="restart"/>
            <w:tcBorders>
              <w:top w:val="single" w:color="auto" w:sz="8" w:space="0"/>
              <w:right w:val="single" w:color="auto" w:sz="4" w:space="0"/>
            </w:tcBorders>
            <w:vAlign w:val="center"/>
          </w:tcPr>
          <w:p w14:paraId="35BC3011">
            <w:pPr>
              <w:adjustRightInd/>
              <w:spacing w:line="240" w:lineRule="auto"/>
              <w:jc w:val="center"/>
              <w:rPr>
                <w:rFonts w:ascii="宋体" w:hAnsi="宋体"/>
                <w:sz w:val="18"/>
                <w:szCs w:val="18"/>
              </w:rPr>
            </w:pPr>
            <w:r>
              <w:rPr>
                <w:rFonts w:hint="eastAsia" w:ascii="宋体" w:hAnsi="宋体"/>
                <w:sz w:val="18"/>
                <w:szCs w:val="18"/>
              </w:rPr>
              <w:t>单位</w:t>
            </w:r>
          </w:p>
        </w:tc>
        <w:tc>
          <w:tcPr>
            <w:tcW w:w="3260" w:type="dxa"/>
            <w:gridSpan w:val="2"/>
            <w:tcBorders>
              <w:top w:val="single" w:color="auto" w:sz="8" w:space="0"/>
              <w:left w:val="single" w:color="auto" w:sz="4" w:space="0"/>
              <w:bottom w:val="single" w:color="auto" w:sz="4" w:space="0"/>
            </w:tcBorders>
            <w:vAlign w:val="center"/>
          </w:tcPr>
          <w:p w14:paraId="0F8CD1E6">
            <w:pPr>
              <w:adjustRightInd/>
              <w:spacing w:line="240" w:lineRule="auto"/>
              <w:jc w:val="center"/>
              <w:rPr>
                <w:rFonts w:ascii="宋体" w:hAnsi="宋体"/>
                <w:sz w:val="18"/>
                <w:szCs w:val="18"/>
              </w:rPr>
            </w:pPr>
            <w:r>
              <w:rPr>
                <w:rFonts w:hint="eastAsia" w:ascii="宋体" w:hAnsi="宋体"/>
                <w:sz w:val="18"/>
                <w:szCs w:val="18"/>
              </w:rPr>
              <w:t>技术要求</w:t>
            </w:r>
          </w:p>
        </w:tc>
        <w:tc>
          <w:tcPr>
            <w:tcW w:w="2516" w:type="dxa"/>
            <w:vMerge w:val="restart"/>
            <w:tcBorders>
              <w:top w:val="single" w:color="auto" w:sz="8" w:space="0"/>
              <w:bottom w:val="single" w:color="auto" w:sz="4" w:space="0"/>
            </w:tcBorders>
            <w:shd w:val="clear" w:color="auto" w:fill="auto"/>
            <w:vAlign w:val="center"/>
          </w:tcPr>
          <w:p w14:paraId="285D103D">
            <w:pPr>
              <w:adjustRightInd/>
              <w:spacing w:line="240" w:lineRule="auto"/>
              <w:jc w:val="center"/>
              <w:rPr>
                <w:rFonts w:ascii="宋体" w:hAnsi="宋体"/>
                <w:sz w:val="18"/>
                <w:szCs w:val="18"/>
              </w:rPr>
            </w:pPr>
            <w:r>
              <w:rPr>
                <w:rFonts w:hint="eastAsia" w:ascii="宋体" w:hAnsi="宋体"/>
                <w:sz w:val="18"/>
                <w:szCs w:val="18"/>
              </w:rPr>
              <w:t>试验方法</w:t>
            </w:r>
          </w:p>
        </w:tc>
      </w:tr>
      <w:tr w14:paraId="319F5E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95" w:type="dxa"/>
            <w:vMerge w:val="continue"/>
            <w:tcBorders>
              <w:top w:val="single" w:color="auto" w:sz="8" w:space="0"/>
              <w:bottom w:val="single" w:color="auto" w:sz="8" w:space="0"/>
              <w:right w:val="single" w:color="auto" w:sz="4" w:space="0"/>
            </w:tcBorders>
            <w:shd w:val="clear" w:color="auto" w:fill="auto"/>
            <w:vAlign w:val="center"/>
          </w:tcPr>
          <w:p w14:paraId="0B074E88">
            <w:pPr>
              <w:adjustRightInd/>
              <w:spacing w:line="240" w:lineRule="auto"/>
              <w:jc w:val="center"/>
              <w:rPr>
                <w:rFonts w:ascii="宋体" w:hAnsi="宋体"/>
                <w:sz w:val="18"/>
                <w:szCs w:val="18"/>
              </w:rPr>
            </w:pPr>
          </w:p>
        </w:tc>
        <w:tc>
          <w:tcPr>
            <w:tcW w:w="992" w:type="dxa"/>
            <w:vMerge w:val="continue"/>
            <w:tcBorders>
              <w:bottom w:val="single" w:color="auto" w:sz="8" w:space="0"/>
              <w:right w:val="single" w:color="auto" w:sz="4" w:space="0"/>
            </w:tcBorders>
            <w:vAlign w:val="center"/>
          </w:tcPr>
          <w:p w14:paraId="325C5EAB">
            <w:pPr>
              <w:adjustRightInd/>
              <w:spacing w:line="240" w:lineRule="auto"/>
              <w:jc w:val="center"/>
              <w:rPr>
                <w:rFonts w:ascii="宋体" w:hAnsi="宋体"/>
                <w:sz w:val="18"/>
                <w:szCs w:val="18"/>
              </w:rPr>
            </w:pPr>
          </w:p>
        </w:tc>
        <w:tc>
          <w:tcPr>
            <w:tcW w:w="1843" w:type="dxa"/>
            <w:tcBorders>
              <w:top w:val="single" w:color="auto" w:sz="4" w:space="0"/>
              <w:left w:val="single" w:color="auto" w:sz="4" w:space="0"/>
              <w:bottom w:val="single" w:color="auto" w:sz="8" w:space="0"/>
            </w:tcBorders>
            <w:vAlign w:val="center"/>
          </w:tcPr>
          <w:p w14:paraId="1CA8A6DB">
            <w:pPr>
              <w:adjustRightInd/>
              <w:spacing w:line="240" w:lineRule="auto"/>
              <w:jc w:val="center"/>
              <w:rPr>
                <w:rFonts w:ascii="宋体" w:hAnsi="宋体"/>
                <w:sz w:val="18"/>
                <w:szCs w:val="18"/>
              </w:rPr>
            </w:pPr>
            <w:r>
              <w:rPr>
                <w:rFonts w:hint="eastAsia" w:ascii="宋体" w:hAnsi="宋体"/>
                <w:sz w:val="18"/>
                <w:szCs w:val="18"/>
              </w:rPr>
              <w:t>高速公路及一级公路</w:t>
            </w:r>
          </w:p>
        </w:tc>
        <w:tc>
          <w:tcPr>
            <w:tcW w:w="1417" w:type="dxa"/>
            <w:tcBorders>
              <w:top w:val="single" w:color="auto" w:sz="4" w:space="0"/>
              <w:bottom w:val="single" w:color="auto" w:sz="8" w:space="0"/>
            </w:tcBorders>
            <w:shd w:val="clear" w:color="auto" w:fill="auto"/>
            <w:vAlign w:val="center"/>
          </w:tcPr>
          <w:p w14:paraId="0D15E625">
            <w:pPr>
              <w:adjustRightInd/>
              <w:spacing w:line="240" w:lineRule="auto"/>
              <w:jc w:val="center"/>
              <w:rPr>
                <w:rFonts w:ascii="宋体" w:hAnsi="宋体"/>
                <w:sz w:val="18"/>
                <w:szCs w:val="18"/>
              </w:rPr>
            </w:pPr>
            <w:r>
              <w:rPr>
                <w:rFonts w:hint="eastAsia" w:ascii="宋体" w:hAnsi="宋体"/>
                <w:sz w:val="18"/>
                <w:szCs w:val="18"/>
              </w:rPr>
              <w:t>其他等级公路</w:t>
            </w:r>
          </w:p>
        </w:tc>
        <w:tc>
          <w:tcPr>
            <w:tcW w:w="2516" w:type="dxa"/>
            <w:vMerge w:val="continue"/>
            <w:tcBorders>
              <w:top w:val="single" w:color="auto" w:sz="4" w:space="0"/>
              <w:bottom w:val="single" w:color="auto" w:sz="8" w:space="0"/>
            </w:tcBorders>
            <w:shd w:val="clear" w:color="auto" w:fill="auto"/>
            <w:vAlign w:val="center"/>
          </w:tcPr>
          <w:p w14:paraId="1C2AD0F7">
            <w:pPr>
              <w:adjustRightInd/>
              <w:spacing w:line="240" w:lineRule="auto"/>
              <w:jc w:val="center"/>
              <w:rPr>
                <w:rFonts w:ascii="宋体" w:hAnsi="宋体"/>
                <w:sz w:val="18"/>
                <w:szCs w:val="18"/>
              </w:rPr>
            </w:pPr>
          </w:p>
        </w:tc>
      </w:tr>
      <w:tr w14:paraId="029E1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5" w:type="dxa"/>
            <w:tcBorders>
              <w:top w:val="single" w:color="auto" w:sz="8" w:space="0"/>
              <w:bottom w:val="single" w:color="auto" w:sz="4" w:space="0"/>
              <w:right w:val="single" w:color="auto" w:sz="4" w:space="0"/>
            </w:tcBorders>
            <w:shd w:val="clear" w:color="auto" w:fill="auto"/>
            <w:vAlign w:val="center"/>
          </w:tcPr>
          <w:p w14:paraId="49E8467B">
            <w:pPr>
              <w:adjustRightInd/>
              <w:spacing w:line="240" w:lineRule="auto"/>
              <w:jc w:val="center"/>
              <w:rPr>
                <w:rFonts w:ascii="宋体" w:hAnsi="宋体"/>
                <w:sz w:val="18"/>
                <w:szCs w:val="18"/>
              </w:rPr>
            </w:pPr>
            <w:r>
              <w:rPr>
                <w:rFonts w:hint="eastAsia" w:ascii="宋体" w:hAnsi="宋体"/>
                <w:sz w:val="18"/>
                <w:szCs w:val="18"/>
              </w:rPr>
              <w:t>针片状颗粒含量（混合料）</w:t>
            </w:r>
            <w:r>
              <w:rPr>
                <w:rFonts w:hint="eastAsia" w:ascii="宋体" w:hAnsi="宋体"/>
                <w:sz w:val="18"/>
                <w:szCs w:val="18"/>
                <w:vertAlign w:val="superscript"/>
              </w:rPr>
              <w:t>c</w:t>
            </w:r>
          </w:p>
          <w:p w14:paraId="6EE4BF23">
            <w:pPr>
              <w:adjustRightInd/>
              <w:spacing w:line="240" w:lineRule="auto"/>
              <w:jc w:val="center"/>
              <w:rPr>
                <w:rFonts w:ascii="宋体" w:hAnsi="宋体"/>
                <w:sz w:val="18"/>
                <w:szCs w:val="18"/>
              </w:rPr>
            </w:pPr>
            <w:r>
              <w:rPr>
                <w:rFonts w:hint="eastAsia" w:ascii="宋体" w:hAnsi="宋体"/>
                <w:sz w:val="18"/>
                <w:szCs w:val="18"/>
              </w:rPr>
              <w:t>其中粒径大于9</w:t>
            </w:r>
            <w:r>
              <w:rPr>
                <w:rFonts w:ascii="宋体" w:hAnsi="宋体"/>
                <w:sz w:val="18"/>
                <w:szCs w:val="18"/>
              </w:rPr>
              <w:t>.5</w:t>
            </w:r>
            <w:r>
              <w:rPr>
                <w:rFonts w:ascii="Times New Roman" w:hAnsi="Times New Roman"/>
                <w:sz w:val="18"/>
                <w:szCs w:val="18"/>
              </w:rPr>
              <w:t> </w:t>
            </w:r>
            <w:r>
              <w:rPr>
                <w:rFonts w:hint="eastAsia" w:ascii="宋体" w:hAnsi="宋体"/>
                <w:sz w:val="18"/>
                <w:szCs w:val="18"/>
              </w:rPr>
              <w:t>mm</w:t>
            </w:r>
          </w:p>
          <w:p w14:paraId="5885957A">
            <w:pPr>
              <w:adjustRightInd/>
              <w:spacing w:line="240" w:lineRule="auto"/>
              <w:jc w:val="center"/>
              <w:rPr>
                <w:rFonts w:ascii="宋体" w:hAnsi="宋体"/>
                <w:sz w:val="18"/>
                <w:szCs w:val="18"/>
              </w:rPr>
            </w:pPr>
            <w:r>
              <w:rPr>
                <w:rFonts w:hint="eastAsia" w:ascii="宋体" w:hAnsi="宋体"/>
                <w:sz w:val="18"/>
                <w:szCs w:val="18"/>
              </w:rPr>
              <w:t>其中粒径小于9</w:t>
            </w:r>
            <w:r>
              <w:rPr>
                <w:rFonts w:ascii="宋体" w:hAnsi="宋体"/>
                <w:sz w:val="18"/>
                <w:szCs w:val="18"/>
              </w:rPr>
              <w:t>.5</w:t>
            </w:r>
            <w:r>
              <w:rPr>
                <w:rFonts w:ascii="Times New Roman" w:hAnsi="Times New Roman"/>
                <w:sz w:val="18"/>
                <w:szCs w:val="18"/>
              </w:rPr>
              <w:t> </w:t>
            </w:r>
            <w:r>
              <w:rPr>
                <w:rFonts w:hint="eastAsia" w:ascii="宋体" w:hAnsi="宋体"/>
                <w:sz w:val="18"/>
                <w:szCs w:val="18"/>
              </w:rPr>
              <w:t>mm</w:t>
            </w:r>
          </w:p>
        </w:tc>
        <w:tc>
          <w:tcPr>
            <w:tcW w:w="992" w:type="dxa"/>
            <w:tcBorders>
              <w:top w:val="single" w:color="auto" w:sz="8" w:space="0"/>
              <w:bottom w:val="single" w:color="auto" w:sz="4" w:space="0"/>
              <w:right w:val="single" w:color="auto" w:sz="4" w:space="0"/>
            </w:tcBorders>
            <w:vAlign w:val="center"/>
          </w:tcPr>
          <w:p w14:paraId="17C45B97">
            <w:pPr>
              <w:adjustRightInd/>
              <w:spacing w:line="240" w:lineRule="auto"/>
              <w:jc w:val="center"/>
              <w:rPr>
                <w:rFonts w:ascii="宋体" w:hAnsi="宋体"/>
                <w:sz w:val="18"/>
                <w:szCs w:val="18"/>
              </w:rPr>
            </w:pPr>
            <w:r>
              <w:rPr>
                <w:rFonts w:hint="eastAsia" w:ascii="宋体" w:hAnsi="宋体"/>
                <w:sz w:val="18"/>
                <w:szCs w:val="18"/>
              </w:rPr>
              <w:t>—</w:t>
            </w:r>
          </w:p>
          <w:p w14:paraId="62FA6368">
            <w:pPr>
              <w:adjustRightInd/>
              <w:spacing w:line="240" w:lineRule="auto"/>
              <w:jc w:val="center"/>
              <w:rPr>
                <w:rFonts w:ascii="宋体" w:hAnsi="宋体"/>
                <w:sz w:val="18"/>
                <w:szCs w:val="18"/>
              </w:rPr>
            </w:pPr>
            <w:r>
              <w:rPr>
                <w:rFonts w:hint="eastAsia" w:ascii="宋体" w:hAnsi="宋体"/>
                <w:sz w:val="18"/>
                <w:szCs w:val="18"/>
              </w:rPr>
              <w:t>—</w:t>
            </w:r>
          </w:p>
          <w:p w14:paraId="3AC4656C">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8" w:space="0"/>
              <w:left w:val="single" w:color="auto" w:sz="4" w:space="0"/>
              <w:bottom w:val="single" w:color="auto" w:sz="4" w:space="0"/>
            </w:tcBorders>
            <w:vAlign w:val="center"/>
          </w:tcPr>
          <w:p w14:paraId="1B73B581">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5</w:t>
            </w:r>
            <w:r>
              <w:rPr>
                <w:rFonts w:hint="eastAsia" w:ascii="宋体" w:hAnsi="宋体"/>
                <w:sz w:val="18"/>
                <w:szCs w:val="18"/>
              </w:rPr>
              <w:t>％</w:t>
            </w:r>
          </w:p>
          <w:p w14:paraId="4106E477">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w:t>
            </w:r>
          </w:p>
          <w:p w14:paraId="40777176">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8</w:t>
            </w:r>
            <w:r>
              <w:rPr>
                <w:rFonts w:hint="eastAsia" w:ascii="宋体" w:hAnsi="宋体"/>
                <w:sz w:val="18"/>
                <w:szCs w:val="18"/>
              </w:rPr>
              <w:t>％</w:t>
            </w:r>
          </w:p>
        </w:tc>
        <w:tc>
          <w:tcPr>
            <w:tcW w:w="1417" w:type="dxa"/>
            <w:tcBorders>
              <w:top w:val="single" w:color="auto" w:sz="8" w:space="0"/>
              <w:bottom w:val="single" w:color="auto" w:sz="4" w:space="0"/>
            </w:tcBorders>
            <w:shd w:val="clear" w:color="auto" w:fill="auto"/>
            <w:vAlign w:val="center"/>
          </w:tcPr>
          <w:p w14:paraId="4148999A">
            <w:pPr>
              <w:adjustRightInd/>
              <w:spacing w:line="240" w:lineRule="auto"/>
              <w:jc w:val="center"/>
              <w:rPr>
                <w:rFonts w:ascii="宋体" w:hAnsi="宋体"/>
                <w:sz w:val="18"/>
                <w:szCs w:val="18"/>
              </w:rPr>
            </w:pPr>
            <w:r>
              <w:rPr>
                <w:rFonts w:hint="eastAsia" w:ascii="宋体" w:hAnsi="宋体"/>
                <w:sz w:val="18"/>
                <w:szCs w:val="18"/>
              </w:rPr>
              <w:t>≤20％</w:t>
            </w:r>
          </w:p>
          <w:p w14:paraId="19398BB4">
            <w:pPr>
              <w:adjustRightInd/>
              <w:spacing w:line="240" w:lineRule="auto"/>
              <w:jc w:val="center"/>
              <w:rPr>
                <w:rFonts w:ascii="宋体" w:hAnsi="宋体"/>
                <w:sz w:val="18"/>
                <w:szCs w:val="18"/>
              </w:rPr>
            </w:pPr>
            <w:r>
              <w:rPr>
                <w:rFonts w:hint="eastAsia" w:ascii="宋体" w:hAnsi="宋体"/>
                <w:sz w:val="18"/>
                <w:szCs w:val="18"/>
              </w:rPr>
              <w:t>—</w:t>
            </w:r>
          </w:p>
          <w:p w14:paraId="4FB13B4D">
            <w:pPr>
              <w:adjustRightInd/>
              <w:spacing w:line="240" w:lineRule="auto"/>
              <w:jc w:val="center"/>
              <w:rPr>
                <w:rFonts w:ascii="宋体" w:hAnsi="宋体"/>
                <w:sz w:val="18"/>
                <w:szCs w:val="18"/>
              </w:rPr>
            </w:pPr>
            <w:r>
              <w:rPr>
                <w:rFonts w:hint="eastAsia" w:ascii="宋体" w:hAnsi="宋体"/>
                <w:sz w:val="18"/>
                <w:szCs w:val="18"/>
              </w:rPr>
              <w:t>—</w:t>
            </w:r>
          </w:p>
        </w:tc>
        <w:tc>
          <w:tcPr>
            <w:tcW w:w="2516" w:type="dxa"/>
            <w:tcBorders>
              <w:top w:val="single" w:color="auto" w:sz="8" w:space="0"/>
              <w:bottom w:val="single" w:color="auto" w:sz="4" w:space="0"/>
            </w:tcBorders>
            <w:shd w:val="clear" w:color="auto" w:fill="auto"/>
            <w:vAlign w:val="center"/>
          </w:tcPr>
          <w:p w14:paraId="5D3CDAAD">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0312</w:t>
            </w:r>
          </w:p>
        </w:tc>
      </w:tr>
      <w:tr w14:paraId="6A849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95" w:type="dxa"/>
            <w:tcBorders>
              <w:top w:val="single" w:color="auto" w:sz="4" w:space="0"/>
            </w:tcBorders>
            <w:shd w:val="clear" w:color="auto" w:fill="auto"/>
            <w:vAlign w:val="center"/>
          </w:tcPr>
          <w:p w14:paraId="064B10B6">
            <w:pPr>
              <w:adjustRightInd/>
              <w:spacing w:line="240" w:lineRule="auto"/>
              <w:jc w:val="center"/>
              <w:rPr>
                <w:rFonts w:ascii="宋体" w:hAnsi="宋体"/>
                <w:sz w:val="18"/>
                <w:szCs w:val="18"/>
              </w:rPr>
            </w:pPr>
            <w:r>
              <w:rPr>
                <w:rFonts w:hint="eastAsia" w:ascii="宋体" w:hAnsi="宋体"/>
                <w:sz w:val="18"/>
                <w:szCs w:val="18"/>
              </w:rPr>
              <w:t>水洗法小于0</w:t>
            </w:r>
            <w:r>
              <w:rPr>
                <w:rFonts w:ascii="宋体" w:hAnsi="宋体"/>
                <w:sz w:val="18"/>
                <w:szCs w:val="18"/>
              </w:rPr>
              <w:t>.075</w:t>
            </w:r>
            <w:r>
              <w:rPr>
                <w:rFonts w:ascii="Times New Roman" w:hAnsi="Times New Roman"/>
                <w:sz w:val="18"/>
                <w:szCs w:val="18"/>
              </w:rPr>
              <w:t> </w:t>
            </w:r>
            <w:r>
              <w:rPr>
                <w:rFonts w:hint="eastAsia" w:ascii="宋体" w:hAnsi="宋体"/>
                <w:sz w:val="18"/>
                <w:szCs w:val="18"/>
              </w:rPr>
              <w:t>mm颗粒含量</w:t>
            </w:r>
          </w:p>
        </w:tc>
        <w:tc>
          <w:tcPr>
            <w:tcW w:w="992" w:type="dxa"/>
            <w:tcBorders>
              <w:top w:val="single" w:color="auto" w:sz="4" w:space="0"/>
            </w:tcBorders>
            <w:vAlign w:val="center"/>
          </w:tcPr>
          <w:p w14:paraId="08CCBEF6">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top w:val="single" w:color="auto" w:sz="4" w:space="0"/>
            </w:tcBorders>
            <w:vAlign w:val="center"/>
          </w:tcPr>
          <w:p w14:paraId="31C68740">
            <w:pPr>
              <w:adjustRightInd/>
              <w:spacing w:line="240" w:lineRule="auto"/>
              <w:jc w:val="center"/>
              <w:rPr>
                <w:rFonts w:ascii="宋体" w:hAnsi="宋体"/>
                <w:sz w:val="18"/>
                <w:szCs w:val="18"/>
              </w:rPr>
            </w:pPr>
            <w:r>
              <w:rPr>
                <w:rFonts w:hint="eastAsia" w:ascii="宋体" w:hAnsi="宋体"/>
                <w:sz w:val="18"/>
                <w:szCs w:val="18"/>
              </w:rPr>
              <w:t>≤1％</w:t>
            </w:r>
          </w:p>
        </w:tc>
        <w:tc>
          <w:tcPr>
            <w:tcW w:w="1417" w:type="dxa"/>
            <w:tcBorders>
              <w:top w:val="single" w:color="auto" w:sz="4" w:space="0"/>
            </w:tcBorders>
            <w:shd w:val="clear" w:color="auto" w:fill="auto"/>
            <w:vAlign w:val="center"/>
          </w:tcPr>
          <w:p w14:paraId="283F6D0F">
            <w:pPr>
              <w:adjustRightInd/>
              <w:spacing w:line="240" w:lineRule="auto"/>
              <w:jc w:val="center"/>
              <w:rPr>
                <w:rFonts w:ascii="宋体" w:hAnsi="宋体"/>
                <w:sz w:val="18"/>
                <w:szCs w:val="18"/>
              </w:rPr>
            </w:pPr>
            <w:r>
              <w:rPr>
                <w:rFonts w:hint="eastAsia" w:ascii="宋体" w:hAnsi="宋体"/>
                <w:sz w:val="18"/>
                <w:szCs w:val="18"/>
              </w:rPr>
              <w:t>≤1％</w:t>
            </w:r>
          </w:p>
        </w:tc>
        <w:tc>
          <w:tcPr>
            <w:tcW w:w="2516" w:type="dxa"/>
            <w:tcBorders>
              <w:top w:val="single" w:color="auto" w:sz="4" w:space="0"/>
            </w:tcBorders>
            <w:shd w:val="clear" w:color="auto" w:fill="auto"/>
            <w:vAlign w:val="center"/>
          </w:tcPr>
          <w:p w14:paraId="24479DFC">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0310</w:t>
            </w:r>
          </w:p>
        </w:tc>
      </w:tr>
      <w:tr w14:paraId="6ED42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95" w:type="dxa"/>
            <w:tcBorders>
              <w:bottom w:val="single" w:color="auto" w:sz="8" w:space="0"/>
            </w:tcBorders>
            <w:shd w:val="clear" w:color="auto" w:fill="auto"/>
            <w:vAlign w:val="center"/>
          </w:tcPr>
          <w:p w14:paraId="7B6C129A">
            <w:pPr>
              <w:adjustRightInd/>
              <w:spacing w:line="240" w:lineRule="auto"/>
              <w:jc w:val="center"/>
              <w:rPr>
                <w:rFonts w:ascii="宋体" w:hAnsi="宋体"/>
                <w:sz w:val="18"/>
                <w:szCs w:val="18"/>
              </w:rPr>
            </w:pPr>
            <w:r>
              <w:rPr>
                <w:rFonts w:hint="eastAsia" w:ascii="宋体" w:hAnsi="宋体"/>
                <w:sz w:val="18"/>
                <w:szCs w:val="18"/>
              </w:rPr>
              <w:t>软石含量</w:t>
            </w:r>
          </w:p>
        </w:tc>
        <w:tc>
          <w:tcPr>
            <w:tcW w:w="992" w:type="dxa"/>
            <w:tcBorders>
              <w:bottom w:val="single" w:color="auto" w:sz="8" w:space="0"/>
            </w:tcBorders>
            <w:vAlign w:val="center"/>
          </w:tcPr>
          <w:p w14:paraId="7C12A018">
            <w:pPr>
              <w:adjustRightInd/>
              <w:spacing w:line="240" w:lineRule="auto"/>
              <w:jc w:val="center"/>
              <w:rPr>
                <w:rFonts w:ascii="宋体" w:hAnsi="宋体"/>
                <w:sz w:val="18"/>
                <w:szCs w:val="18"/>
              </w:rPr>
            </w:pPr>
            <w:r>
              <w:rPr>
                <w:rFonts w:hint="eastAsia" w:ascii="宋体" w:hAnsi="宋体"/>
                <w:sz w:val="18"/>
                <w:szCs w:val="18"/>
              </w:rPr>
              <w:t>—</w:t>
            </w:r>
          </w:p>
        </w:tc>
        <w:tc>
          <w:tcPr>
            <w:tcW w:w="1843" w:type="dxa"/>
            <w:tcBorders>
              <w:bottom w:val="single" w:color="auto" w:sz="8" w:space="0"/>
            </w:tcBorders>
            <w:vAlign w:val="center"/>
          </w:tcPr>
          <w:p w14:paraId="7194A630">
            <w:pPr>
              <w:adjustRightInd/>
              <w:spacing w:line="240" w:lineRule="auto"/>
              <w:jc w:val="center"/>
              <w:rPr>
                <w:rFonts w:ascii="宋体" w:hAnsi="宋体"/>
                <w:sz w:val="18"/>
                <w:szCs w:val="18"/>
              </w:rPr>
            </w:pPr>
            <w:r>
              <w:rPr>
                <w:rFonts w:hint="eastAsia" w:ascii="宋体" w:hAnsi="宋体"/>
                <w:sz w:val="18"/>
                <w:szCs w:val="18"/>
              </w:rPr>
              <w:t>≤3％</w:t>
            </w:r>
          </w:p>
        </w:tc>
        <w:tc>
          <w:tcPr>
            <w:tcW w:w="1417" w:type="dxa"/>
            <w:tcBorders>
              <w:bottom w:val="single" w:color="auto" w:sz="8" w:space="0"/>
            </w:tcBorders>
            <w:shd w:val="clear" w:color="auto" w:fill="auto"/>
            <w:vAlign w:val="center"/>
          </w:tcPr>
          <w:p w14:paraId="6EB867CF">
            <w:pPr>
              <w:adjustRightInd/>
              <w:spacing w:line="240" w:lineRule="auto"/>
              <w:jc w:val="center"/>
              <w:rPr>
                <w:rFonts w:ascii="宋体" w:hAnsi="宋体"/>
                <w:sz w:val="18"/>
                <w:szCs w:val="18"/>
              </w:rPr>
            </w:pPr>
            <w:r>
              <w:rPr>
                <w:rFonts w:hint="eastAsia" w:ascii="宋体" w:hAnsi="宋体"/>
                <w:sz w:val="18"/>
                <w:szCs w:val="18"/>
              </w:rPr>
              <w:t>≤5％</w:t>
            </w:r>
          </w:p>
        </w:tc>
        <w:tc>
          <w:tcPr>
            <w:tcW w:w="2516" w:type="dxa"/>
            <w:tcBorders>
              <w:bottom w:val="single" w:color="auto" w:sz="8" w:space="0"/>
            </w:tcBorders>
            <w:shd w:val="clear" w:color="auto" w:fill="auto"/>
            <w:vAlign w:val="center"/>
          </w:tcPr>
          <w:p w14:paraId="33737174">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0320</w:t>
            </w:r>
          </w:p>
        </w:tc>
      </w:tr>
      <w:tr w14:paraId="4F0128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463" w:type="dxa"/>
            <w:gridSpan w:val="5"/>
            <w:tcBorders>
              <w:top w:val="single" w:color="auto" w:sz="8" w:space="0"/>
              <w:bottom w:val="single" w:color="auto" w:sz="8" w:space="0"/>
            </w:tcBorders>
            <w:vAlign w:val="center"/>
          </w:tcPr>
          <w:p w14:paraId="5D298315">
            <w:pPr>
              <w:adjustRightInd/>
              <w:spacing w:line="240" w:lineRule="auto"/>
              <w:ind w:firstLine="415" w:firstLineChars="231"/>
              <w:jc w:val="left"/>
              <w:rPr>
                <w:rFonts w:ascii="宋体" w:hAnsi="宋体"/>
                <w:sz w:val="18"/>
                <w:szCs w:val="18"/>
              </w:rPr>
            </w:pPr>
            <w:r>
              <w:rPr>
                <w:rFonts w:hint="eastAsia" w:ascii="宋体" w:hAnsi="宋体"/>
                <w:sz w:val="18"/>
                <w:szCs w:val="18"/>
                <w:vertAlign w:val="superscript"/>
              </w:rPr>
              <w:t>a</w:t>
            </w:r>
            <w:r>
              <w:rPr>
                <w:rFonts w:ascii="宋体" w:hAnsi="宋体"/>
                <w:sz w:val="18"/>
                <w:szCs w:val="18"/>
                <w:vertAlign w:val="superscript"/>
              </w:rPr>
              <w:t xml:space="preserve"> </w:t>
            </w:r>
            <w:r>
              <w:rPr>
                <w:rFonts w:hint="eastAsia" w:ascii="宋体" w:hAnsi="宋体"/>
                <w:sz w:val="18"/>
                <w:szCs w:val="18"/>
              </w:rPr>
              <w:t>多孔玄武岩的表观相对密度可放宽至2</w:t>
            </w:r>
            <w:r>
              <w:rPr>
                <w:rFonts w:ascii="宋体" w:hAnsi="宋体"/>
                <w:sz w:val="18"/>
                <w:szCs w:val="18"/>
              </w:rPr>
              <w:t>.45</w:t>
            </w:r>
            <w:r>
              <w:rPr>
                <w:rFonts w:hint="eastAsia" w:ascii="宋体" w:hAnsi="宋体"/>
                <w:sz w:val="18"/>
                <w:szCs w:val="18"/>
              </w:rPr>
              <w:t>，多孔玄武岩及钢渣吸水率可放宽至3％。</w:t>
            </w:r>
          </w:p>
          <w:p w14:paraId="1C96B258">
            <w:pPr>
              <w:adjustRightInd/>
              <w:spacing w:line="240" w:lineRule="auto"/>
              <w:ind w:firstLine="415" w:firstLineChars="231"/>
              <w:jc w:val="left"/>
              <w:rPr>
                <w:rFonts w:ascii="宋体" w:hAnsi="宋体"/>
                <w:kern w:val="0"/>
                <w:sz w:val="18"/>
                <w:szCs w:val="18"/>
              </w:rPr>
            </w:pPr>
            <w:r>
              <w:rPr>
                <w:rFonts w:hint="eastAsia" w:ascii="宋体" w:hAnsi="宋体"/>
                <w:kern w:val="0"/>
                <w:sz w:val="18"/>
                <w:szCs w:val="18"/>
                <w:vertAlign w:val="superscript"/>
              </w:rPr>
              <w:t>b</w:t>
            </w:r>
            <w:r>
              <w:rPr>
                <w:rFonts w:ascii="宋体" w:hAnsi="宋体"/>
                <w:kern w:val="0"/>
                <w:sz w:val="18"/>
                <w:szCs w:val="18"/>
                <w:vertAlign w:val="superscript"/>
              </w:rPr>
              <w:t xml:space="preserve"> </w:t>
            </w:r>
            <w:r>
              <w:rPr>
                <w:rFonts w:hint="eastAsia" w:ascii="宋体" w:hAnsi="宋体"/>
                <w:kern w:val="0"/>
                <w:sz w:val="18"/>
                <w:szCs w:val="18"/>
              </w:rPr>
              <w:t>坚固性试验可根据需要进行。</w:t>
            </w:r>
          </w:p>
          <w:p w14:paraId="5C449B28">
            <w:pPr>
              <w:adjustRightInd/>
              <w:spacing w:line="240" w:lineRule="auto"/>
              <w:ind w:firstLine="415" w:firstLineChars="231"/>
              <w:jc w:val="left"/>
              <w:rPr>
                <w:rFonts w:ascii="宋体" w:hAnsi="宋体"/>
                <w:kern w:val="0"/>
                <w:sz w:val="18"/>
                <w:szCs w:val="18"/>
                <w:vertAlign w:val="superscript"/>
              </w:rPr>
            </w:pPr>
            <w:r>
              <w:rPr>
                <w:rFonts w:hint="eastAsia" w:ascii="宋体" w:hAnsi="宋体"/>
                <w:kern w:val="0"/>
                <w:sz w:val="18"/>
                <w:szCs w:val="18"/>
                <w:vertAlign w:val="superscript"/>
              </w:rPr>
              <w:t>c</w:t>
            </w:r>
            <w:r>
              <w:rPr>
                <w:rFonts w:ascii="宋体" w:hAnsi="宋体"/>
                <w:kern w:val="0"/>
                <w:sz w:val="18"/>
                <w:szCs w:val="18"/>
                <w:vertAlign w:val="superscript"/>
              </w:rPr>
              <w:t xml:space="preserve"> </w:t>
            </w:r>
            <w:r>
              <w:rPr>
                <w:rFonts w:ascii="宋体" w:hAnsi="宋体"/>
                <w:sz w:val="18"/>
                <w:szCs w:val="18"/>
              </w:rPr>
              <w:t>对S14即3～5规格的粗集料，针片状颗粒含量可不予要求</w:t>
            </w:r>
            <w:r>
              <w:rPr>
                <w:rFonts w:hint="eastAsia" w:ascii="宋体" w:hAnsi="宋体"/>
                <w:sz w:val="18"/>
                <w:szCs w:val="18"/>
              </w:rPr>
              <w:t>。</w:t>
            </w:r>
          </w:p>
        </w:tc>
      </w:tr>
    </w:tbl>
    <w:p w14:paraId="7A78775F">
      <w:pPr>
        <w:pStyle w:val="58"/>
        <w:ind w:firstLine="420"/>
      </w:pPr>
    </w:p>
    <w:p w14:paraId="7A8863EE">
      <w:pPr>
        <w:pStyle w:val="167"/>
        <w:ind w:left="0"/>
      </w:pPr>
      <w:r>
        <w:rPr>
          <w:rFonts w:hint="eastAsia"/>
        </w:rPr>
        <w:t>当单一规格集料的质量指标达不到表中要求，而按照沥青混合料中各种规格粗集料的比例计算的质量指标符合要求时，工程上允许使用。对受热易变质的集料，宜增加高温压碎值对石料的高温稳定性进行检验。</w:t>
      </w:r>
    </w:p>
    <w:p w14:paraId="5D6E9B5E">
      <w:pPr>
        <w:pStyle w:val="107"/>
        <w:spacing w:before="156" w:after="156"/>
      </w:pPr>
      <w:bookmarkStart w:id="96" w:name="_Toc195013004"/>
      <w:bookmarkStart w:id="97" w:name="_Toc199251470"/>
      <w:bookmarkStart w:id="98" w:name="_Toc198802219"/>
      <w:bookmarkStart w:id="99" w:name="_Toc198816974"/>
      <w:bookmarkStart w:id="100" w:name="_Toc198815891"/>
      <w:r>
        <w:rPr>
          <w:rFonts w:hint="eastAsia"/>
        </w:rPr>
        <w:t>细集料</w:t>
      </w:r>
      <w:bookmarkEnd w:id="96"/>
      <w:bookmarkEnd w:id="97"/>
      <w:bookmarkEnd w:id="98"/>
      <w:bookmarkEnd w:id="99"/>
      <w:bookmarkEnd w:id="100"/>
    </w:p>
    <w:p w14:paraId="774B535D">
      <w:pPr>
        <w:pStyle w:val="167"/>
        <w:ind w:left="0"/>
      </w:pPr>
      <w:r>
        <w:rPr>
          <w:rFonts w:hint="eastAsia"/>
        </w:rPr>
        <w:t>细集料宜采用机制砂，当采用反击式或锤式破碎机生产的硬质岩集料经过筛选的小于2.36</w:t>
      </w:r>
      <w:r>
        <w:t> </w:t>
      </w:r>
      <w:r>
        <w:rPr>
          <w:rFonts w:hint="eastAsia"/>
        </w:rPr>
        <w:t>mm部分具有较好的棱角性，可作为机制砂使用。</w:t>
      </w:r>
    </w:p>
    <w:p w14:paraId="1FCA1E68">
      <w:pPr>
        <w:pStyle w:val="167"/>
        <w:ind w:left="0"/>
      </w:pPr>
      <w:r>
        <w:rPr>
          <w:rFonts w:hint="eastAsia"/>
        </w:rPr>
        <w:t>机制砂应采用质地坚硬、洁净、无软弱颗粒及未风化的石灰岩等碱性基或中性基的岩石加工。</w:t>
      </w:r>
    </w:p>
    <w:p w14:paraId="27FD4CEE">
      <w:pPr>
        <w:pStyle w:val="167"/>
        <w:ind w:left="0"/>
      </w:pPr>
      <w:r>
        <w:rPr>
          <w:rFonts w:hint="eastAsia"/>
        </w:rPr>
        <w:t>细集料应洁净、干燥、无风化、无杂质，并有适当的颗粒级配，其规格应符合表3的规定，技术要求应符合表4的规定。</w:t>
      </w:r>
    </w:p>
    <w:p w14:paraId="3B7D1570">
      <w:pPr>
        <w:pStyle w:val="114"/>
        <w:spacing w:before="156" w:after="156"/>
      </w:pPr>
      <w:r>
        <w:rPr>
          <w:rFonts w:hint="eastAsia"/>
        </w:rPr>
        <w:t>沥青混合料用细集料规格</w:t>
      </w:r>
    </w:p>
    <w:tbl>
      <w:tblPr>
        <w:tblStyle w:val="27"/>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1285"/>
        <w:gridCol w:w="853"/>
        <w:gridCol w:w="1275"/>
        <w:gridCol w:w="1275"/>
        <w:gridCol w:w="1277"/>
        <w:gridCol w:w="1134"/>
        <w:gridCol w:w="1146"/>
        <w:gridCol w:w="1131"/>
      </w:tblGrid>
      <w:tr w14:paraId="1E189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85" w:type="pct"/>
            <w:tcBorders>
              <w:top w:val="single" w:color="auto" w:sz="8" w:space="0"/>
              <w:bottom w:val="single" w:color="auto" w:sz="8" w:space="0"/>
            </w:tcBorders>
            <w:vAlign w:val="center"/>
          </w:tcPr>
          <w:p w14:paraId="48AC2E66">
            <w:pPr>
              <w:adjustRightInd/>
              <w:spacing w:line="240" w:lineRule="auto"/>
              <w:jc w:val="center"/>
              <w:rPr>
                <w:rFonts w:ascii="宋体" w:hAnsi="宋体"/>
                <w:sz w:val="18"/>
                <w:szCs w:val="18"/>
              </w:rPr>
            </w:pPr>
            <w:r>
              <w:rPr>
                <w:rFonts w:hint="eastAsia" w:ascii="宋体" w:hAnsi="宋体"/>
                <w:sz w:val="18"/>
                <w:szCs w:val="18"/>
              </w:rPr>
              <w:t>项目</w:t>
            </w:r>
          </w:p>
        </w:tc>
        <w:tc>
          <w:tcPr>
            <w:tcW w:w="4315" w:type="pct"/>
            <w:gridSpan w:val="7"/>
            <w:tcBorders>
              <w:top w:val="single" w:color="auto" w:sz="8" w:space="0"/>
              <w:bottom w:val="single" w:color="auto" w:sz="8" w:space="0"/>
            </w:tcBorders>
            <w:vAlign w:val="center"/>
          </w:tcPr>
          <w:p w14:paraId="107CC830">
            <w:pPr>
              <w:adjustRightInd/>
              <w:spacing w:line="240" w:lineRule="auto"/>
              <w:jc w:val="center"/>
              <w:rPr>
                <w:rFonts w:ascii="宋体" w:hAnsi="宋体"/>
                <w:sz w:val="18"/>
                <w:szCs w:val="18"/>
              </w:rPr>
            </w:pPr>
            <w:r>
              <w:rPr>
                <w:rFonts w:ascii="宋体" w:hAnsi="宋体"/>
                <w:sz w:val="18"/>
                <w:szCs w:val="18"/>
              </w:rPr>
              <w:t>通过下列筛孔的质量百分率</w:t>
            </w:r>
          </w:p>
        </w:tc>
      </w:tr>
      <w:tr w14:paraId="00494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685" w:type="pct"/>
            <w:tcBorders>
              <w:top w:val="single" w:color="auto" w:sz="8" w:space="0"/>
            </w:tcBorders>
            <w:vAlign w:val="center"/>
          </w:tcPr>
          <w:p w14:paraId="3080AC0F">
            <w:pPr>
              <w:adjustRightInd/>
              <w:spacing w:line="240" w:lineRule="auto"/>
              <w:jc w:val="center"/>
              <w:rPr>
                <w:rFonts w:ascii="宋体" w:hAnsi="宋体"/>
                <w:sz w:val="18"/>
                <w:szCs w:val="18"/>
              </w:rPr>
            </w:pPr>
            <w:r>
              <w:rPr>
                <w:rFonts w:hint="eastAsia" w:ascii="宋体" w:hAnsi="宋体"/>
                <w:sz w:val="18"/>
                <w:szCs w:val="18"/>
              </w:rPr>
              <w:t>筛孔尺寸</w:t>
            </w:r>
          </w:p>
          <w:p w14:paraId="535582DB">
            <w:pPr>
              <w:adjustRightInd/>
              <w:spacing w:line="240" w:lineRule="auto"/>
              <w:jc w:val="center"/>
              <w:rPr>
                <w:rFonts w:ascii="宋体" w:hAnsi="宋体"/>
                <w:sz w:val="18"/>
                <w:szCs w:val="18"/>
              </w:rPr>
            </w:pPr>
            <w:r>
              <w:rPr>
                <w:rFonts w:hint="eastAsia" w:ascii="宋体" w:hAnsi="宋体"/>
                <w:sz w:val="18"/>
                <w:szCs w:val="18"/>
              </w:rPr>
              <w:t>mm</w:t>
            </w:r>
          </w:p>
        </w:tc>
        <w:tc>
          <w:tcPr>
            <w:tcW w:w="455" w:type="pct"/>
            <w:tcBorders>
              <w:top w:val="single" w:color="auto" w:sz="8" w:space="0"/>
            </w:tcBorders>
            <w:vAlign w:val="center"/>
          </w:tcPr>
          <w:p w14:paraId="1289E95F">
            <w:pPr>
              <w:adjustRightInd/>
              <w:spacing w:line="240" w:lineRule="auto"/>
              <w:jc w:val="center"/>
              <w:rPr>
                <w:rFonts w:ascii="宋体" w:hAnsi="宋体"/>
                <w:sz w:val="18"/>
                <w:szCs w:val="18"/>
              </w:rPr>
            </w:pPr>
            <w:r>
              <w:rPr>
                <w:rFonts w:ascii="宋体" w:hAnsi="宋体"/>
                <w:sz w:val="18"/>
                <w:szCs w:val="18"/>
              </w:rPr>
              <w:t>4.75</w:t>
            </w:r>
          </w:p>
        </w:tc>
        <w:tc>
          <w:tcPr>
            <w:tcW w:w="680" w:type="pct"/>
            <w:tcBorders>
              <w:top w:val="single" w:color="auto" w:sz="8" w:space="0"/>
            </w:tcBorders>
            <w:vAlign w:val="center"/>
          </w:tcPr>
          <w:p w14:paraId="4FCAA4DF">
            <w:pPr>
              <w:adjustRightInd/>
              <w:spacing w:line="240" w:lineRule="auto"/>
              <w:jc w:val="center"/>
              <w:rPr>
                <w:rFonts w:ascii="宋体" w:hAnsi="宋体"/>
                <w:sz w:val="18"/>
                <w:szCs w:val="18"/>
              </w:rPr>
            </w:pPr>
            <w:r>
              <w:rPr>
                <w:rFonts w:ascii="宋体" w:hAnsi="宋体"/>
                <w:sz w:val="18"/>
                <w:szCs w:val="18"/>
              </w:rPr>
              <w:t>2.36</w:t>
            </w:r>
          </w:p>
        </w:tc>
        <w:tc>
          <w:tcPr>
            <w:tcW w:w="680" w:type="pct"/>
            <w:tcBorders>
              <w:top w:val="single" w:color="auto" w:sz="8" w:space="0"/>
            </w:tcBorders>
            <w:vAlign w:val="center"/>
          </w:tcPr>
          <w:p w14:paraId="2C23E42B">
            <w:pPr>
              <w:adjustRightInd/>
              <w:spacing w:line="240" w:lineRule="auto"/>
              <w:jc w:val="center"/>
              <w:rPr>
                <w:rFonts w:ascii="宋体" w:hAnsi="宋体"/>
                <w:sz w:val="18"/>
                <w:szCs w:val="18"/>
              </w:rPr>
            </w:pPr>
            <w:r>
              <w:rPr>
                <w:rFonts w:ascii="宋体" w:hAnsi="宋体"/>
                <w:sz w:val="18"/>
                <w:szCs w:val="18"/>
              </w:rPr>
              <w:t>1.18</w:t>
            </w:r>
          </w:p>
        </w:tc>
        <w:tc>
          <w:tcPr>
            <w:tcW w:w="681" w:type="pct"/>
            <w:tcBorders>
              <w:top w:val="single" w:color="auto" w:sz="8" w:space="0"/>
            </w:tcBorders>
            <w:vAlign w:val="center"/>
          </w:tcPr>
          <w:p w14:paraId="77F50156">
            <w:pPr>
              <w:adjustRightInd/>
              <w:spacing w:line="240" w:lineRule="auto"/>
              <w:jc w:val="center"/>
              <w:rPr>
                <w:rFonts w:ascii="宋体" w:hAnsi="宋体"/>
                <w:sz w:val="18"/>
                <w:szCs w:val="18"/>
              </w:rPr>
            </w:pPr>
            <w:r>
              <w:rPr>
                <w:rFonts w:ascii="宋体" w:hAnsi="宋体"/>
                <w:sz w:val="18"/>
                <w:szCs w:val="18"/>
              </w:rPr>
              <w:t>0.6</w:t>
            </w:r>
          </w:p>
        </w:tc>
        <w:tc>
          <w:tcPr>
            <w:tcW w:w="605" w:type="pct"/>
            <w:tcBorders>
              <w:top w:val="single" w:color="auto" w:sz="8" w:space="0"/>
            </w:tcBorders>
            <w:vAlign w:val="center"/>
          </w:tcPr>
          <w:p w14:paraId="0D413788">
            <w:pPr>
              <w:adjustRightInd/>
              <w:spacing w:line="240" w:lineRule="auto"/>
              <w:jc w:val="center"/>
              <w:rPr>
                <w:rFonts w:ascii="宋体" w:hAnsi="宋体"/>
                <w:sz w:val="18"/>
                <w:szCs w:val="18"/>
              </w:rPr>
            </w:pPr>
            <w:r>
              <w:rPr>
                <w:rFonts w:ascii="宋体" w:hAnsi="宋体"/>
                <w:sz w:val="18"/>
                <w:szCs w:val="18"/>
              </w:rPr>
              <w:t>0.3</w:t>
            </w:r>
          </w:p>
        </w:tc>
        <w:tc>
          <w:tcPr>
            <w:tcW w:w="611" w:type="pct"/>
            <w:tcBorders>
              <w:top w:val="single" w:color="auto" w:sz="8" w:space="0"/>
            </w:tcBorders>
            <w:vAlign w:val="center"/>
          </w:tcPr>
          <w:p w14:paraId="19FC167A">
            <w:pPr>
              <w:adjustRightInd/>
              <w:spacing w:line="240" w:lineRule="auto"/>
              <w:jc w:val="center"/>
              <w:rPr>
                <w:rFonts w:ascii="宋体" w:hAnsi="宋体"/>
                <w:sz w:val="18"/>
                <w:szCs w:val="18"/>
              </w:rPr>
            </w:pPr>
            <w:r>
              <w:rPr>
                <w:rFonts w:ascii="宋体" w:hAnsi="宋体"/>
                <w:sz w:val="18"/>
                <w:szCs w:val="18"/>
              </w:rPr>
              <w:t>0.15</w:t>
            </w:r>
          </w:p>
        </w:tc>
        <w:tc>
          <w:tcPr>
            <w:tcW w:w="603" w:type="pct"/>
            <w:tcBorders>
              <w:top w:val="single" w:color="auto" w:sz="8" w:space="0"/>
            </w:tcBorders>
            <w:vAlign w:val="center"/>
          </w:tcPr>
          <w:p w14:paraId="76F71764">
            <w:pPr>
              <w:adjustRightInd/>
              <w:spacing w:line="240" w:lineRule="auto"/>
              <w:jc w:val="center"/>
              <w:rPr>
                <w:rFonts w:ascii="宋体" w:hAnsi="宋体"/>
                <w:sz w:val="18"/>
                <w:szCs w:val="18"/>
              </w:rPr>
            </w:pPr>
            <w:r>
              <w:rPr>
                <w:rFonts w:ascii="宋体" w:hAnsi="宋体"/>
                <w:sz w:val="18"/>
                <w:szCs w:val="18"/>
              </w:rPr>
              <w:t>0.075</w:t>
            </w:r>
          </w:p>
        </w:tc>
      </w:tr>
      <w:tr w14:paraId="53A81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85" w:type="pct"/>
            <w:vAlign w:val="center"/>
          </w:tcPr>
          <w:p w14:paraId="1603ACEF">
            <w:pPr>
              <w:adjustRightInd/>
              <w:spacing w:line="240" w:lineRule="auto"/>
              <w:jc w:val="center"/>
              <w:rPr>
                <w:rFonts w:ascii="宋体" w:hAnsi="宋体"/>
                <w:sz w:val="18"/>
                <w:szCs w:val="18"/>
              </w:rPr>
            </w:pPr>
            <w:r>
              <w:rPr>
                <w:rFonts w:hint="eastAsia" w:ascii="宋体" w:hAnsi="宋体"/>
                <w:sz w:val="18"/>
                <w:szCs w:val="18"/>
              </w:rPr>
              <w:t>通过率</w:t>
            </w:r>
          </w:p>
        </w:tc>
        <w:tc>
          <w:tcPr>
            <w:tcW w:w="455" w:type="pct"/>
            <w:vAlign w:val="center"/>
          </w:tcPr>
          <w:p w14:paraId="260E1C8D">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00</w:t>
            </w:r>
            <w:r>
              <w:rPr>
                <w:rFonts w:hint="eastAsia" w:ascii="宋体" w:hAnsi="宋体"/>
                <w:sz w:val="18"/>
                <w:szCs w:val="18"/>
              </w:rPr>
              <w:t>％</w:t>
            </w:r>
          </w:p>
        </w:tc>
        <w:tc>
          <w:tcPr>
            <w:tcW w:w="680" w:type="pct"/>
            <w:vAlign w:val="center"/>
          </w:tcPr>
          <w:p w14:paraId="066A1943">
            <w:pPr>
              <w:adjustRightInd/>
              <w:spacing w:line="240" w:lineRule="auto"/>
              <w:jc w:val="center"/>
              <w:rPr>
                <w:rFonts w:ascii="宋体" w:hAnsi="宋体"/>
                <w:sz w:val="18"/>
                <w:szCs w:val="18"/>
              </w:rPr>
            </w:pPr>
            <w:r>
              <w:rPr>
                <w:rFonts w:hint="eastAsia" w:ascii="宋体" w:hAnsi="宋体"/>
                <w:sz w:val="18"/>
                <w:szCs w:val="18"/>
              </w:rPr>
              <w:t>8</w:t>
            </w:r>
            <w:r>
              <w:rPr>
                <w:rFonts w:ascii="宋体" w:hAnsi="宋体"/>
                <w:sz w:val="18"/>
                <w:szCs w:val="18"/>
              </w:rPr>
              <w:t>0</w:t>
            </w:r>
            <w:r>
              <w:rPr>
                <w:rFonts w:hint="eastAsia" w:ascii="宋体" w:hAnsi="宋体"/>
                <w:sz w:val="18"/>
                <w:szCs w:val="18"/>
              </w:rPr>
              <w:t>％～</w:t>
            </w:r>
            <w:r>
              <w:rPr>
                <w:rFonts w:ascii="宋体" w:hAnsi="宋体"/>
                <w:sz w:val="18"/>
                <w:szCs w:val="18"/>
              </w:rPr>
              <w:t>95</w:t>
            </w:r>
            <w:r>
              <w:rPr>
                <w:rFonts w:hint="eastAsia" w:ascii="宋体" w:hAnsi="宋体"/>
                <w:sz w:val="18"/>
                <w:szCs w:val="18"/>
              </w:rPr>
              <w:t>％</w:t>
            </w:r>
          </w:p>
        </w:tc>
        <w:tc>
          <w:tcPr>
            <w:tcW w:w="680" w:type="pct"/>
            <w:vAlign w:val="center"/>
          </w:tcPr>
          <w:p w14:paraId="2F57C255">
            <w:pPr>
              <w:adjustRightInd/>
              <w:spacing w:line="240" w:lineRule="auto"/>
              <w:jc w:val="center"/>
              <w:rPr>
                <w:rFonts w:ascii="宋体" w:hAnsi="宋体"/>
                <w:sz w:val="18"/>
                <w:szCs w:val="18"/>
              </w:rPr>
            </w:pPr>
            <w:r>
              <w:rPr>
                <w:rFonts w:hint="eastAsia" w:ascii="宋体" w:hAnsi="宋体"/>
                <w:sz w:val="18"/>
                <w:szCs w:val="18"/>
              </w:rPr>
              <w:t>5</w:t>
            </w:r>
            <w:r>
              <w:rPr>
                <w:rFonts w:ascii="宋体" w:hAnsi="宋体"/>
                <w:sz w:val="18"/>
                <w:szCs w:val="18"/>
              </w:rPr>
              <w:t>0</w:t>
            </w:r>
            <w:r>
              <w:rPr>
                <w:rFonts w:hint="eastAsia" w:ascii="宋体" w:hAnsi="宋体"/>
                <w:sz w:val="18"/>
                <w:szCs w:val="18"/>
              </w:rPr>
              <w:t>％～</w:t>
            </w:r>
            <w:r>
              <w:rPr>
                <w:rFonts w:ascii="宋体" w:hAnsi="宋体"/>
                <w:sz w:val="18"/>
                <w:szCs w:val="18"/>
              </w:rPr>
              <w:t>80</w:t>
            </w:r>
            <w:r>
              <w:rPr>
                <w:rFonts w:hint="eastAsia" w:ascii="宋体" w:hAnsi="宋体"/>
                <w:sz w:val="18"/>
                <w:szCs w:val="18"/>
              </w:rPr>
              <w:t>％</w:t>
            </w:r>
          </w:p>
        </w:tc>
        <w:tc>
          <w:tcPr>
            <w:tcW w:w="681" w:type="pct"/>
            <w:vAlign w:val="center"/>
          </w:tcPr>
          <w:p w14:paraId="54C70A0C">
            <w:pPr>
              <w:adjustRightInd/>
              <w:spacing w:line="240" w:lineRule="auto"/>
              <w:jc w:val="center"/>
              <w:rPr>
                <w:rFonts w:ascii="宋体" w:hAnsi="宋体"/>
                <w:sz w:val="18"/>
                <w:szCs w:val="18"/>
              </w:rPr>
            </w:pPr>
            <w:r>
              <w:rPr>
                <w:rFonts w:ascii="宋体" w:hAnsi="宋体"/>
                <w:sz w:val="18"/>
                <w:szCs w:val="18"/>
              </w:rPr>
              <w:t>25</w:t>
            </w:r>
            <w:r>
              <w:rPr>
                <w:rFonts w:hint="eastAsia" w:ascii="宋体" w:hAnsi="宋体"/>
                <w:sz w:val="18"/>
                <w:szCs w:val="18"/>
              </w:rPr>
              <w:t>％～</w:t>
            </w:r>
            <w:r>
              <w:rPr>
                <w:rFonts w:ascii="宋体" w:hAnsi="宋体"/>
                <w:sz w:val="18"/>
                <w:szCs w:val="18"/>
              </w:rPr>
              <w:t>60</w:t>
            </w:r>
            <w:r>
              <w:rPr>
                <w:rFonts w:hint="eastAsia" w:ascii="宋体" w:hAnsi="宋体"/>
                <w:sz w:val="18"/>
                <w:szCs w:val="18"/>
              </w:rPr>
              <w:t>％</w:t>
            </w:r>
          </w:p>
        </w:tc>
        <w:tc>
          <w:tcPr>
            <w:tcW w:w="605" w:type="pct"/>
            <w:vAlign w:val="center"/>
          </w:tcPr>
          <w:p w14:paraId="72D96006">
            <w:pPr>
              <w:adjustRightInd/>
              <w:spacing w:line="240" w:lineRule="auto"/>
              <w:jc w:val="center"/>
              <w:rPr>
                <w:rFonts w:ascii="宋体" w:hAnsi="宋体"/>
                <w:sz w:val="18"/>
                <w:szCs w:val="18"/>
              </w:rPr>
            </w:pPr>
            <w:r>
              <w:rPr>
                <w:rFonts w:hint="eastAsia" w:ascii="宋体" w:hAnsi="宋体"/>
                <w:sz w:val="18"/>
                <w:szCs w:val="18"/>
              </w:rPr>
              <w:t>8％～</w:t>
            </w:r>
            <w:r>
              <w:rPr>
                <w:rFonts w:ascii="宋体" w:hAnsi="宋体"/>
                <w:sz w:val="18"/>
                <w:szCs w:val="18"/>
              </w:rPr>
              <w:t>45</w:t>
            </w:r>
            <w:r>
              <w:rPr>
                <w:rFonts w:hint="eastAsia" w:ascii="宋体" w:hAnsi="宋体"/>
                <w:sz w:val="18"/>
                <w:szCs w:val="18"/>
              </w:rPr>
              <w:t>％</w:t>
            </w:r>
          </w:p>
        </w:tc>
        <w:tc>
          <w:tcPr>
            <w:tcW w:w="611" w:type="pct"/>
            <w:vAlign w:val="center"/>
          </w:tcPr>
          <w:p w14:paraId="1845B514">
            <w:pPr>
              <w:adjustRightInd/>
              <w:spacing w:line="240" w:lineRule="auto"/>
              <w:jc w:val="center"/>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25</w:t>
            </w:r>
            <w:r>
              <w:rPr>
                <w:rFonts w:hint="eastAsia" w:ascii="宋体" w:hAnsi="宋体"/>
                <w:sz w:val="18"/>
                <w:szCs w:val="18"/>
              </w:rPr>
              <w:t>％</w:t>
            </w:r>
          </w:p>
        </w:tc>
        <w:tc>
          <w:tcPr>
            <w:tcW w:w="603" w:type="pct"/>
            <w:vAlign w:val="center"/>
          </w:tcPr>
          <w:p w14:paraId="45406D26">
            <w:pPr>
              <w:adjustRightInd/>
              <w:spacing w:line="240" w:lineRule="auto"/>
              <w:jc w:val="center"/>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12</w:t>
            </w:r>
            <w:r>
              <w:rPr>
                <w:rFonts w:hint="eastAsia" w:ascii="宋体" w:hAnsi="宋体"/>
                <w:sz w:val="18"/>
                <w:szCs w:val="18"/>
              </w:rPr>
              <w:t>％</w:t>
            </w:r>
          </w:p>
        </w:tc>
      </w:tr>
    </w:tbl>
    <w:p w14:paraId="73704CAC">
      <w:pPr>
        <w:pStyle w:val="114"/>
        <w:spacing w:before="156" w:after="156"/>
      </w:pPr>
      <w:r>
        <w:rPr>
          <w:rFonts w:hint="eastAsia"/>
        </w:rPr>
        <w:t>沥青混合料用细集料技术要求</w:t>
      </w:r>
    </w:p>
    <w:tbl>
      <w:tblPr>
        <w:tblStyle w:val="27"/>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847"/>
        <w:gridCol w:w="1561"/>
        <w:gridCol w:w="2409"/>
        <w:gridCol w:w="2562"/>
      </w:tblGrid>
      <w:tr w14:paraId="6B939C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tcBorders>
              <w:top w:val="single" w:color="auto" w:sz="8" w:space="0"/>
              <w:bottom w:val="single" w:color="auto" w:sz="8" w:space="0"/>
            </w:tcBorders>
            <w:shd w:val="clear" w:color="auto" w:fill="auto"/>
            <w:vAlign w:val="center"/>
          </w:tcPr>
          <w:p w14:paraId="363A5C78">
            <w:pPr>
              <w:adjustRightInd/>
              <w:spacing w:line="240" w:lineRule="auto"/>
              <w:jc w:val="center"/>
              <w:rPr>
                <w:rFonts w:ascii="宋体" w:hAnsi="宋体"/>
                <w:sz w:val="18"/>
                <w:szCs w:val="18"/>
              </w:rPr>
            </w:pPr>
            <w:r>
              <w:rPr>
                <w:rFonts w:hint="eastAsia" w:ascii="宋体" w:hAnsi="宋体"/>
                <w:sz w:val="18"/>
                <w:szCs w:val="18"/>
              </w:rPr>
              <w:t>项目</w:t>
            </w:r>
          </w:p>
        </w:tc>
        <w:tc>
          <w:tcPr>
            <w:tcW w:w="832" w:type="pct"/>
            <w:tcBorders>
              <w:top w:val="single" w:color="auto" w:sz="8" w:space="0"/>
              <w:bottom w:val="single" w:color="auto" w:sz="8" w:space="0"/>
            </w:tcBorders>
            <w:vAlign w:val="center"/>
          </w:tcPr>
          <w:p w14:paraId="77FA3657">
            <w:pPr>
              <w:adjustRightInd/>
              <w:spacing w:line="240" w:lineRule="auto"/>
              <w:jc w:val="center"/>
              <w:rPr>
                <w:rFonts w:ascii="宋体" w:hAnsi="宋体"/>
                <w:sz w:val="18"/>
                <w:szCs w:val="18"/>
              </w:rPr>
            </w:pPr>
            <w:r>
              <w:rPr>
                <w:rFonts w:hint="eastAsia" w:ascii="宋体" w:hAnsi="宋体"/>
                <w:sz w:val="18"/>
                <w:szCs w:val="18"/>
              </w:rPr>
              <w:t>单位</w:t>
            </w:r>
          </w:p>
        </w:tc>
        <w:tc>
          <w:tcPr>
            <w:tcW w:w="1284" w:type="pct"/>
            <w:tcBorders>
              <w:top w:val="single" w:color="auto" w:sz="8" w:space="0"/>
              <w:bottom w:val="single" w:color="auto" w:sz="8" w:space="0"/>
            </w:tcBorders>
            <w:shd w:val="clear" w:color="auto" w:fill="auto"/>
            <w:vAlign w:val="center"/>
          </w:tcPr>
          <w:p w14:paraId="5503A423">
            <w:pPr>
              <w:adjustRightInd/>
              <w:spacing w:line="240" w:lineRule="auto"/>
              <w:jc w:val="center"/>
              <w:rPr>
                <w:rFonts w:ascii="宋体" w:hAnsi="宋体"/>
                <w:sz w:val="18"/>
                <w:szCs w:val="18"/>
              </w:rPr>
            </w:pPr>
            <w:r>
              <w:rPr>
                <w:rFonts w:hint="eastAsia" w:ascii="宋体" w:hAnsi="宋体"/>
                <w:sz w:val="18"/>
                <w:szCs w:val="18"/>
              </w:rPr>
              <w:t>技术要求</w:t>
            </w:r>
          </w:p>
        </w:tc>
        <w:tc>
          <w:tcPr>
            <w:tcW w:w="1366" w:type="pct"/>
            <w:tcBorders>
              <w:top w:val="single" w:color="auto" w:sz="8" w:space="0"/>
              <w:bottom w:val="single" w:color="auto" w:sz="8" w:space="0"/>
            </w:tcBorders>
            <w:shd w:val="clear" w:color="auto" w:fill="auto"/>
            <w:vAlign w:val="center"/>
          </w:tcPr>
          <w:p w14:paraId="07BCA85D">
            <w:pPr>
              <w:adjustRightInd/>
              <w:spacing w:line="240" w:lineRule="auto"/>
              <w:jc w:val="center"/>
              <w:rPr>
                <w:rFonts w:ascii="宋体" w:hAnsi="宋体"/>
                <w:sz w:val="18"/>
                <w:szCs w:val="18"/>
              </w:rPr>
            </w:pPr>
            <w:r>
              <w:rPr>
                <w:rFonts w:hint="eastAsia" w:ascii="宋体" w:hAnsi="宋体"/>
                <w:sz w:val="18"/>
                <w:szCs w:val="18"/>
              </w:rPr>
              <w:t>试验方法</w:t>
            </w:r>
          </w:p>
        </w:tc>
      </w:tr>
      <w:tr w14:paraId="1DFB89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tcBorders>
              <w:top w:val="single" w:color="auto" w:sz="8" w:space="0"/>
            </w:tcBorders>
            <w:shd w:val="clear" w:color="auto" w:fill="auto"/>
            <w:vAlign w:val="center"/>
          </w:tcPr>
          <w:p w14:paraId="18E7B47E">
            <w:pPr>
              <w:adjustRightInd/>
              <w:spacing w:line="240" w:lineRule="auto"/>
              <w:jc w:val="center"/>
              <w:rPr>
                <w:rFonts w:ascii="宋体" w:hAnsi="宋体"/>
                <w:sz w:val="18"/>
                <w:szCs w:val="18"/>
              </w:rPr>
            </w:pPr>
            <w:r>
              <w:rPr>
                <w:rFonts w:hint="eastAsia" w:ascii="宋体" w:hAnsi="宋体"/>
                <w:sz w:val="18"/>
                <w:szCs w:val="18"/>
              </w:rPr>
              <w:t>表观相对密度</w:t>
            </w:r>
          </w:p>
        </w:tc>
        <w:tc>
          <w:tcPr>
            <w:tcW w:w="832" w:type="pct"/>
            <w:tcBorders>
              <w:top w:val="single" w:color="auto" w:sz="8" w:space="0"/>
            </w:tcBorders>
            <w:vAlign w:val="center"/>
          </w:tcPr>
          <w:p w14:paraId="0C03FF19">
            <w:pPr>
              <w:adjustRightInd/>
              <w:spacing w:line="240" w:lineRule="auto"/>
              <w:jc w:val="center"/>
              <w:rPr>
                <w:rFonts w:ascii="宋体" w:hAnsi="宋体"/>
                <w:sz w:val="18"/>
                <w:szCs w:val="18"/>
              </w:rPr>
            </w:pPr>
            <w:r>
              <w:rPr>
                <w:rFonts w:hint="eastAsia" w:ascii="宋体" w:hAnsi="宋体"/>
                <w:sz w:val="18"/>
                <w:szCs w:val="18"/>
              </w:rPr>
              <w:t>—</w:t>
            </w:r>
          </w:p>
        </w:tc>
        <w:tc>
          <w:tcPr>
            <w:tcW w:w="1284" w:type="pct"/>
            <w:tcBorders>
              <w:top w:val="single" w:color="auto" w:sz="8" w:space="0"/>
            </w:tcBorders>
            <w:shd w:val="clear" w:color="auto" w:fill="auto"/>
            <w:vAlign w:val="center"/>
          </w:tcPr>
          <w:p w14:paraId="105E13D6">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.50</w:t>
            </w:r>
          </w:p>
        </w:tc>
        <w:tc>
          <w:tcPr>
            <w:tcW w:w="1366" w:type="pct"/>
            <w:tcBorders>
              <w:top w:val="single" w:color="auto" w:sz="8" w:space="0"/>
            </w:tcBorders>
            <w:shd w:val="clear" w:color="auto" w:fill="auto"/>
            <w:vAlign w:val="center"/>
          </w:tcPr>
          <w:p w14:paraId="042BC399">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0328</w:t>
            </w:r>
          </w:p>
        </w:tc>
      </w:tr>
      <w:tr w14:paraId="2A668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shd w:val="clear" w:color="auto" w:fill="auto"/>
            <w:vAlign w:val="center"/>
          </w:tcPr>
          <w:p w14:paraId="55DD2ABA">
            <w:pPr>
              <w:adjustRightInd/>
              <w:spacing w:line="240" w:lineRule="auto"/>
              <w:jc w:val="center"/>
              <w:rPr>
                <w:rFonts w:ascii="宋体" w:hAnsi="宋体"/>
                <w:sz w:val="18"/>
                <w:szCs w:val="18"/>
              </w:rPr>
            </w:pPr>
            <w:r>
              <w:rPr>
                <w:rFonts w:hint="eastAsia" w:ascii="宋体" w:hAnsi="宋体"/>
                <w:sz w:val="18"/>
                <w:szCs w:val="18"/>
              </w:rPr>
              <w:t>坚固性</w:t>
            </w:r>
            <w:r>
              <w:rPr>
                <w:rFonts w:hint="eastAsia" w:ascii="宋体" w:hAnsi="宋体"/>
                <w:sz w:val="18"/>
                <w:szCs w:val="18"/>
                <w:vertAlign w:val="superscript"/>
              </w:rPr>
              <w:t>a</w:t>
            </w:r>
            <w:r>
              <w:rPr>
                <w:rFonts w:hint="eastAsia" w:ascii="宋体" w:hAnsi="宋体"/>
                <w:sz w:val="18"/>
                <w:szCs w:val="18"/>
              </w:rPr>
              <w:t>（＞0</w:t>
            </w:r>
            <w:r>
              <w:rPr>
                <w:rFonts w:ascii="宋体" w:hAnsi="宋体"/>
                <w:sz w:val="18"/>
                <w:szCs w:val="18"/>
              </w:rPr>
              <w:t>.3 </w:t>
            </w:r>
            <w:r>
              <w:rPr>
                <w:rFonts w:hint="eastAsia" w:ascii="宋体" w:hAnsi="宋体"/>
                <w:sz w:val="18"/>
                <w:szCs w:val="18"/>
              </w:rPr>
              <w:t>mm部分）</w:t>
            </w:r>
          </w:p>
        </w:tc>
        <w:tc>
          <w:tcPr>
            <w:tcW w:w="832" w:type="pct"/>
            <w:vAlign w:val="center"/>
          </w:tcPr>
          <w:p w14:paraId="20BD17F6">
            <w:pPr>
              <w:adjustRightInd/>
              <w:spacing w:line="240" w:lineRule="auto"/>
              <w:jc w:val="center"/>
              <w:rPr>
                <w:rFonts w:ascii="宋体" w:hAnsi="宋体"/>
                <w:sz w:val="18"/>
                <w:szCs w:val="18"/>
              </w:rPr>
            </w:pPr>
            <w:r>
              <w:rPr>
                <w:rFonts w:hint="eastAsia" w:ascii="宋体" w:hAnsi="宋体"/>
                <w:sz w:val="18"/>
                <w:szCs w:val="18"/>
              </w:rPr>
              <w:t>—</w:t>
            </w:r>
          </w:p>
        </w:tc>
        <w:tc>
          <w:tcPr>
            <w:tcW w:w="1284" w:type="pct"/>
            <w:shd w:val="clear" w:color="auto" w:fill="auto"/>
            <w:vAlign w:val="center"/>
          </w:tcPr>
          <w:p w14:paraId="114CEB8C">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w:t>
            </w:r>
          </w:p>
        </w:tc>
        <w:tc>
          <w:tcPr>
            <w:tcW w:w="1366" w:type="pct"/>
            <w:shd w:val="clear" w:color="auto" w:fill="auto"/>
            <w:vAlign w:val="center"/>
          </w:tcPr>
          <w:p w14:paraId="4EF50FA8">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0340</w:t>
            </w:r>
          </w:p>
        </w:tc>
      </w:tr>
      <w:tr w14:paraId="59C87A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shd w:val="clear" w:color="auto" w:fill="auto"/>
            <w:vAlign w:val="center"/>
          </w:tcPr>
          <w:p w14:paraId="3AC55602">
            <w:pPr>
              <w:adjustRightInd/>
              <w:spacing w:line="240" w:lineRule="auto"/>
              <w:jc w:val="center"/>
              <w:rPr>
                <w:rFonts w:ascii="宋体" w:hAnsi="宋体"/>
                <w:sz w:val="18"/>
                <w:szCs w:val="18"/>
              </w:rPr>
            </w:pPr>
            <w:r>
              <w:rPr>
                <w:rFonts w:hint="eastAsia" w:ascii="宋体" w:hAnsi="宋体"/>
                <w:sz w:val="18"/>
                <w:szCs w:val="18"/>
              </w:rPr>
              <w:t>砂当量</w:t>
            </w:r>
            <w:r>
              <w:rPr>
                <w:rFonts w:hint="eastAsia" w:ascii="宋体" w:hAnsi="宋体"/>
                <w:sz w:val="18"/>
                <w:szCs w:val="18"/>
                <w:vertAlign w:val="superscript"/>
              </w:rPr>
              <w:t>b</w:t>
            </w:r>
          </w:p>
        </w:tc>
        <w:tc>
          <w:tcPr>
            <w:tcW w:w="832" w:type="pct"/>
            <w:vAlign w:val="center"/>
          </w:tcPr>
          <w:p w14:paraId="3F816491">
            <w:pPr>
              <w:adjustRightInd/>
              <w:spacing w:line="240" w:lineRule="auto"/>
              <w:jc w:val="center"/>
              <w:rPr>
                <w:rFonts w:ascii="宋体" w:hAnsi="宋体"/>
                <w:sz w:val="18"/>
                <w:szCs w:val="18"/>
              </w:rPr>
            </w:pPr>
            <w:r>
              <w:rPr>
                <w:rFonts w:hint="eastAsia" w:ascii="宋体" w:hAnsi="宋体"/>
                <w:sz w:val="18"/>
                <w:szCs w:val="18"/>
              </w:rPr>
              <w:t>—</w:t>
            </w:r>
          </w:p>
        </w:tc>
        <w:tc>
          <w:tcPr>
            <w:tcW w:w="1284" w:type="pct"/>
            <w:shd w:val="clear" w:color="auto" w:fill="auto"/>
            <w:vAlign w:val="center"/>
          </w:tcPr>
          <w:p w14:paraId="61FBE059">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65</w:t>
            </w:r>
            <w:r>
              <w:rPr>
                <w:rFonts w:hint="eastAsia" w:ascii="宋体" w:hAnsi="宋体"/>
                <w:sz w:val="18"/>
                <w:szCs w:val="18"/>
              </w:rPr>
              <w:t>％</w:t>
            </w:r>
          </w:p>
        </w:tc>
        <w:tc>
          <w:tcPr>
            <w:tcW w:w="1366" w:type="pct"/>
            <w:shd w:val="clear" w:color="auto" w:fill="auto"/>
            <w:vAlign w:val="center"/>
          </w:tcPr>
          <w:p w14:paraId="16DA8FB9">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0334</w:t>
            </w:r>
          </w:p>
        </w:tc>
      </w:tr>
      <w:tr w14:paraId="6D3B2F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shd w:val="clear" w:color="auto" w:fill="auto"/>
            <w:vAlign w:val="center"/>
          </w:tcPr>
          <w:p w14:paraId="7B0DC013">
            <w:pPr>
              <w:adjustRightInd/>
              <w:spacing w:line="240" w:lineRule="auto"/>
              <w:jc w:val="center"/>
              <w:rPr>
                <w:rFonts w:ascii="宋体" w:hAnsi="宋体"/>
                <w:sz w:val="18"/>
                <w:szCs w:val="18"/>
              </w:rPr>
            </w:pPr>
            <w:r>
              <w:rPr>
                <w:rFonts w:hint="eastAsia" w:ascii="宋体" w:hAnsi="宋体"/>
                <w:sz w:val="18"/>
                <w:szCs w:val="18"/>
              </w:rPr>
              <w:t>亚甲蓝值</w:t>
            </w:r>
            <w:r>
              <w:rPr>
                <w:rFonts w:hint="eastAsia" w:ascii="宋体" w:hAnsi="宋体"/>
                <w:sz w:val="18"/>
                <w:szCs w:val="18"/>
                <w:vertAlign w:val="superscript"/>
              </w:rPr>
              <w:t>b</w:t>
            </w:r>
          </w:p>
        </w:tc>
        <w:tc>
          <w:tcPr>
            <w:tcW w:w="832" w:type="pct"/>
            <w:vAlign w:val="center"/>
          </w:tcPr>
          <w:p w14:paraId="598E8B3E">
            <w:pPr>
              <w:adjustRightInd/>
              <w:spacing w:line="240" w:lineRule="auto"/>
              <w:jc w:val="center"/>
              <w:rPr>
                <w:rFonts w:ascii="宋体" w:hAnsi="宋体"/>
                <w:sz w:val="18"/>
                <w:szCs w:val="18"/>
              </w:rPr>
            </w:pPr>
            <w:r>
              <w:rPr>
                <w:rFonts w:hint="eastAsia" w:ascii="宋体" w:hAnsi="宋体"/>
                <w:sz w:val="18"/>
                <w:szCs w:val="18"/>
              </w:rPr>
              <w:t>g</w:t>
            </w:r>
            <w:r>
              <w:rPr>
                <w:rFonts w:ascii="宋体" w:hAnsi="宋体"/>
                <w:sz w:val="18"/>
                <w:szCs w:val="18"/>
              </w:rPr>
              <w:t>/</w:t>
            </w:r>
            <w:r>
              <w:rPr>
                <w:rFonts w:hint="eastAsia" w:ascii="宋体" w:hAnsi="宋体"/>
                <w:sz w:val="18"/>
                <w:szCs w:val="18"/>
              </w:rPr>
              <w:t>kg</w:t>
            </w:r>
          </w:p>
        </w:tc>
        <w:tc>
          <w:tcPr>
            <w:tcW w:w="1284" w:type="pct"/>
            <w:shd w:val="clear" w:color="auto" w:fill="auto"/>
            <w:vAlign w:val="center"/>
          </w:tcPr>
          <w:p w14:paraId="4C80AA8E">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.5</w:t>
            </w:r>
            <w:r>
              <w:rPr>
                <w:rFonts w:hint="eastAsia" w:ascii="宋体" w:hAnsi="宋体"/>
                <w:sz w:val="18"/>
                <w:szCs w:val="18"/>
              </w:rPr>
              <w:t xml:space="preserve"> </w:t>
            </w:r>
          </w:p>
        </w:tc>
        <w:tc>
          <w:tcPr>
            <w:tcW w:w="1366" w:type="pct"/>
            <w:shd w:val="clear" w:color="auto" w:fill="auto"/>
            <w:vAlign w:val="center"/>
          </w:tcPr>
          <w:p w14:paraId="7F1BEC0A">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0349</w:t>
            </w:r>
          </w:p>
        </w:tc>
      </w:tr>
      <w:tr w14:paraId="16354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shd w:val="clear" w:color="auto" w:fill="auto"/>
            <w:vAlign w:val="center"/>
          </w:tcPr>
          <w:p w14:paraId="129627F6">
            <w:pPr>
              <w:adjustRightInd/>
              <w:spacing w:line="240" w:lineRule="auto"/>
              <w:jc w:val="center"/>
              <w:rPr>
                <w:rFonts w:ascii="宋体" w:hAnsi="宋体"/>
                <w:sz w:val="18"/>
                <w:szCs w:val="18"/>
              </w:rPr>
            </w:pPr>
            <w:r>
              <w:rPr>
                <w:rFonts w:hint="eastAsia" w:ascii="宋体" w:hAnsi="宋体"/>
                <w:sz w:val="18"/>
                <w:szCs w:val="18"/>
              </w:rPr>
              <w:t>棱角性（流动时间法）</w:t>
            </w:r>
          </w:p>
        </w:tc>
        <w:tc>
          <w:tcPr>
            <w:tcW w:w="832" w:type="pct"/>
            <w:vAlign w:val="center"/>
          </w:tcPr>
          <w:p w14:paraId="2587BBFF">
            <w:pPr>
              <w:adjustRightInd/>
              <w:spacing w:line="240" w:lineRule="auto"/>
              <w:jc w:val="center"/>
              <w:rPr>
                <w:rFonts w:ascii="宋体" w:hAnsi="宋体"/>
                <w:sz w:val="18"/>
                <w:szCs w:val="18"/>
              </w:rPr>
            </w:pPr>
            <w:r>
              <w:rPr>
                <w:rFonts w:hint="eastAsia" w:ascii="宋体" w:hAnsi="宋体"/>
                <w:sz w:val="18"/>
                <w:szCs w:val="18"/>
              </w:rPr>
              <w:t>s</w:t>
            </w:r>
          </w:p>
        </w:tc>
        <w:tc>
          <w:tcPr>
            <w:tcW w:w="1284" w:type="pct"/>
            <w:shd w:val="clear" w:color="auto" w:fill="auto"/>
            <w:vAlign w:val="center"/>
          </w:tcPr>
          <w:p w14:paraId="6343DEE1">
            <w:pPr>
              <w:adjustRightInd/>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0</w:t>
            </w:r>
          </w:p>
        </w:tc>
        <w:tc>
          <w:tcPr>
            <w:tcW w:w="1366" w:type="pct"/>
            <w:shd w:val="clear" w:color="auto" w:fill="auto"/>
            <w:vAlign w:val="center"/>
          </w:tcPr>
          <w:p w14:paraId="3DCA5540">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0345</w:t>
            </w:r>
          </w:p>
        </w:tc>
      </w:tr>
      <w:tr w14:paraId="35B7F2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18" w:type="pct"/>
            <w:tcBorders>
              <w:bottom w:val="single" w:color="auto" w:sz="8" w:space="0"/>
            </w:tcBorders>
            <w:shd w:val="clear" w:color="auto" w:fill="auto"/>
            <w:vAlign w:val="center"/>
          </w:tcPr>
          <w:p w14:paraId="14FA40C8">
            <w:pPr>
              <w:adjustRightInd/>
              <w:spacing w:line="240" w:lineRule="auto"/>
              <w:jc w:val="center"/>
              <w:rPr>
                <w:rFonts w:ascii="宋体" w:hAnsi="宋体"/>
                <w:sz w:val="18"/>
                <w:szCs w:val="18"/>
              </w:rPr>
            </w:pPr>
            <w:r>
              <w:rPr>
                <w:rFonts w:hint="eastAsia" w:ascii="宋体" w:hAnsi="宋体"/>
                <w:sz w:val="18"/>
                <w:szCs w:val="18"/>
              </w:rPr>
              <w:t>棱角性（间隙率法）</w:t>
            </w:r>
          </w:p>
        </w:tc>
        <w:tc>
          <w:tcPr>
            <w:tcW w:w="832" w:type="pct"/>
            <w:tcBorders>
              <w:bottom w:val="single" w:color="auto" w:sz="8" w:space="0"/>
            </w:tcBorders>
            <w:vAlign w:val="center"/>
          </w:tcPr>
          <w:p w14:paraId="5F9401C9">
            <w:pPr>
              <w:adjustRightInd/>
              <w:spacing w:line="240" w:lineRule="auto"/>
              <w:jc w:val="center"/>
              <w:rPr>
                <w:rFonts w:ascii="宋体" w:hAnsi="宋体"/>
                <w:sz w:val="18"/>
                <w:szCs w:val="18"/>
              </w:rPr>
            </w:pPr>
            <w:r>
              <w:rPr>
                <w:rFonts w:hint="eastAsia" w:ascii="宋体" w:hAnsi="宋体"/>
                <w:sz w:val="18"/>
                <w:szCs w:val="18"/>
              </w:rPr>
              <w:t>—</w:t>
            </w:r>
          </w:p>
        </w:tc>
        <w:tc>
          <w:tcPr>
            <w:tcW w:w="1284" w:type="pct"/>
            <w:tcBorders>
              <w:bottom w:val="single" w:color="auto" w:sz="8" w:space="0"/>
            </w:tcBorders>
            <w:shd w:val="clear" w:color="auto" w:fill="auto"/>
            <w:vAlign w:val="center"/>
          </w:tcPr>
          <w:p w14:paraId="4C1560A6">
            <w:pPr>
              <w:adjustRightInd/>
              <w:spacing w:line="240" w:lineRule="auto"/>
              <w:jc w:val="center"/>
              <w:rPr>
                <w:rFonts w:ascii="宋体" w:hAnsi="宋体"/>
                <w:sz w:val="18"/>
                <w:szCs w:val="18"/>
              </w:rPr>
            </w:pPr>
            <w:r>
              <w:rPr>
                <w:rFonts w:hint="eastAsia" w:ascii="宋体" w:hAnsi="宋体"/>
                <w:sz w:val="18"/>
                <w:szCs w:val="18"/>
              </w:rPr>
              <w:t>≥4</w:t>
            </w:r>
            <w:r>
              <w:rPr>
                <w:rFonts w:ascii="宋体" w:hAnsi="宋体"/>
                <w:sz w:val="18"/>
                <w:szCs w:val="18"/>
              </w:rPr>
              <w:t>5</w:t>
            </w:r>
            <w:r>
              <w:rPr>
                <w:rFonts w:hint="eastAsia" w:ascii="宋体" w:hAnsi="宋体"/>
                <w:sz w:val="18"/>
                <w:szCs w:val="18"/>
              </w:rPr>
              <w:t>％</w:t>
            </w:r>
          </w:p>
        </w:tc>
        <w:tc>
          <w:tcPr>
            <w:tcW w:w="1366" w:type="pct"/>
            <w:tcBorders>
              <w:bottom w:val="single" w:color="auto" w:sz="8" w:space="0"/>
            </w:tcBorders>
            <w:shd w:val="clear" w:color="auto" w:fill="auto"/>
            <w:vAlign w:val="center"/>
          </w:tcPr>
          <w:p w14:paraId="6B2997F8">
            <w:pPr>
              <w:adjustRightInd/>
              <w:spacing w:line="240" w:lineRule="auto"/>
              <w:jc w:val="center"/>
              <w:rPr>
                <w:rFonts w:ascii="宋体" w:hAnsi="宋体"/>
                <w:sz w:val="18"/>
                <w:szCs w:val="18"/>
              </w:rPr>
            </w:pPr>
            <w:r>
              <w:rPr>
                <w:rFonts w:hint="eastAsia" w:ascii="宋体" w:hAnsi="宋体"/>
                <w:sz w:val="18"/>
                <w:szCs w:val="18"/>
              </w:rPr>
              <w:t>JTG 3432—2024</w:t>
            </w:r>
            <w:r>
              <w:rPr>
                <w:rFonts w:ascii="宋体" w:hAnsi="宋体"/>
                <w:sz w:val="18"/>
                <w:szCs w:val="18"/>
              </w:rPr>
              <w:t xml:space="preserve"> </w:t>
            </w:r>
            <w:r>
              <w:rPr>
                <w:rFonts w:hint="eastAsia" w:ascii="宋体" w:hAnsi="宋体"/>
                <w:sz w:val="18"/>
                <w:szCs w:val="18"/>
              </w:rPr>
              <w:t>T</w:t>
            </w:r>
            <w:r>
              <w:rPr>
                <w:rFonts w:ascii="宋体" w:hAnsi="宋体"/>
                <w:sz w:val="18"/>
                <w:szCs w:val="18"/>
              </w:rPr>
              <w:t>0344</w:t>
            </w:r>
            <w:r>
              <w:rPr>
                <w:rFonts w:hint="eastAsia" w:ascii="宋体" w:hAnsi="宋体"/>
                <w:sz w:val="18"/>
                <w:szCs w:val="18"/>
              </w:rPr>
              <w:t xml:space="preserve"> </w:t>
            </w:r>
          </w:p>
        </w:tc>
      </w:tr>
      <w:tr w14:paraId="577E0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gridSpan w:val="4"/>
            <w:tcBorders>
              <w:top w:val="single" w:color="auto" w:sz="8" w:space="0"/>
              <w:bottom w:val="single" w:color="auto" w:sz="8" w:space="0"/>
            </w:tcBorders>
            <w:vAlign w:val="center"/>
          </w:tcPr>
          <w:p w14:paraId="6CECE62B">
            <w:pPr>
              <w:adjustRightInd/>
              <w:spacing w:line="240" w:lineRule="auto"/>
              <w:ind w:firstLine="415" w:firstLineChars="231"/>
              <w:jc w:val="left"/>
              <w:rPr>
                <w:rFonts w:ascii="宋体" w:hAnsi="宋体"/>
                <w:kern w:val="0"/>
                <w:sz w:val="18"/>
                <w:szCs w:val="18"/>
              </w:rPr>
            </w:pPr>
            <w:r>
              <w:rPr>
                <w:rFonts w:hint="eastAsia" w:ascii="宋体" w:hAnsi="宋体"/>
                <w:kern w:val="0"/>
                <w:sz w:val="18"/>
                <w:szCs w:val="18"/>
                <w:vertAlign w:val="superscript"/>
              </w:rPr>
              <w:t>a</w:t>
            </w:r>
            <w:r>
              <w:rPr>
                <w:rFonts w:ascii="宋体" w:hAnsi="宋体"/>
                <w:kern w:val="0"/>
                <w:sz w:val="18"/>
                <w:szCs w:val="18"/>
                <w:vertAlign w:val="superscript"/>
              </w:rPr>
              <w:t xml:space="preserve"> </w:t>
            </w:r>
            <w:r>
              <w:rPr>
                <w:rFonts w:hint="eastAsia" w:ascii="宋体" w:hAnsi="宋体"/>
                <w:kern w:val="0"/>
                <w:sz w:val="18"/>
                <w:szCs w:val="18"/>
              </w:rPr>
              <w:t>坚固性试验可根据需要进行。</w:t>
            </w:r>
          </w:p>
          <w:p w14:paraId="5746F050">
            <w:pPr>
              <w:adjustRightInd/>
              <w:spacing w:line="240" w:lineRule="auto"/>
              <w:ind w:firstLine="415" w:firstLineChars="231"/>
              <w:jc w:val="left"/>
              <w:rPr>
                <w:rFonts w:ascii="宋体" w:hAnsi="宋体"/>
                <w:kern w:val="0"/>
                <w:sz w:val="18"/>
              </w:rPr>
            </w:pPr>
            <w:r>
              <w:rPr>
                <w:rFonts w:hint="eastAsia" w:ascii="宋体" w:hAnsi="宋体"/>
                <w:kern w:val="0"/>
                <w:sz w:val="18"/>
                <w:szCs w:val="18"/>
                <w:vertAlign w:val="superscript"/>
              </w:rPr>
              <w:t>b</w:t>
            </w:r>
            <w:r>
              <w:rPr>
                <w:rFonts w:ascii="宋体" w:hAnsi="宋体"/>
                <w:kern w:val="0"/>
                <w:sz w:val="18"/>
                <w:szCs w:val="18"/>
                <w:vertAlign w:val="superscript"/>
              </w:rPr>
              <w:t xml:space="preserve"> </w:t>
            </w:r>
            <w:r>
              <w:rPr>
                <w:rFonts w:hint="eastAsia" w:ascii="宋体" w:hAnsi="宋体"/>
                <w:kern w:val="0"/>
                <w:sz w:val="18"/>
              </w:rPr>
              <w:t>细集料洁净程度采用砂当量和亚甲蓝评价，其中之一检验合格即评价为合格。对于亚甲蓝指标应筛分出</w:t>
            </w:r>
            <w:r>
              <w:rPr>
                <w:rFonts w:ascii="宋体" w:hAnsi="宋体"/>
                <w:kern w:val="0"/>
                <w:sz w:val="18"/>
              </w:rPr>
              <w:t>0 </w:t>
            </w:r>
            <w:r>
              <w:rPr>
                <w:rFonts w:hint="eastAsia" w:ascii="宋体" w:hAnsi="宋体"/>
                <w:kern w:val="0"/>
                <w:sz w:val="18"/>
              </w:rPr>
              <w:t>mm</w:t>
            </w:r>
            <w:r>
              <w:rPr>
                <w:rFonts w:ascii="Times New Roman" w:hAnsi="Times New Roman"/>
                <w:kern w:val="0"/>
                <w:sz w:val="18"/>
              </w:rPr>
              <w:t>～</w:t>
            </w:r>
            <w:r>
              <w:rPr>
                <w:rFonts w:ascii="宋体" w:hAnsi="宋体"/>
                <w:kern w:val="0"/>
                <w:sz w:val="18"/>
              </w:rPr>
              <w:t>2.36 mm</w:t>
            </w:r>
            <w:r>
              <w:rPr>
                <w:rFonts w:hint="eastAsia" w:ascii="宋体" w:hAnsi="宋体"/>
                <w:kern w:val="0"/>
                <w:sz w:val="18"/>
              </w:rPr>
              <w:t>规格进行检验。</w:t>
            </w:r>
          </w:p>
        </w:tc>
      </w:tr>
    </w:tbl>
    <w:p w14:paraId="19EF912D">
      <w:pPr>
        <w:pStyle w:val="107"/>
        <w:spacing w:before="156" w:after="156"/>
      </w:pPr>
      <w:bookmarkStart w:id="101" w:name="_Toc198802220"/>
      <w:bookmarkStart w:id="102" w:name="_Toc199251471"/>
      <w:bookmarkStart w:id="103" w:name="_Toc169879603"/>
      <w:bookmarkStart w:id="104" w:name="_Toc198815892"/>
      <w:bookmarkStart w:id="105" w:name="_Toc198816975"/>
      <w:bookmarkStart w:id="106" w:name="_Toc195013005"/>
      <w:r>
        <w:rPr>
          <w:rFonts w:hint="eastAsia"/>
        </w:rPr>
        <w:t>填料</w:t>
      </w:r>
      <w:bookmarkEnd w:id="101"/>
      <w:bookmarkEnd w:id="102"/>
      <w:bookmarkEnd w:id="103"/>
      <w:bookmarkEnd w:id="104"/>
      <w:bookmarkEnd w:id="105"/>
      <w:bookmarkEnd w:id="106"/>
    </w:p>
    <w:p w14:paraId="16A138C0">
      <w:pPr>
        <w:pStyle w:val="167"/>
        <w:ind w:left="0"/>
      </w:pPr>
      <w:r>
        <w:rPr>
          <w:rFonts w:hint="eastAsia"/>
        </w:rPr>
        <w:t>LSPM填料应采用消石灰粉、生石灰粉或水泥。</w:t>
      </w:r>
    </w:p>
    <w:p w14:paraId="420AE994">
      <w:pPr>
        <w:pStyle w:val="167"/>
        <w:ind w:left="0"/>
      </w:pPr>
      <w:r>
        <w:rPr>
          <w:rFonts w:hint="eastAsia"/>
        </w:rPr>
        <w:t>LSPM填料应干燥、洁净，能自由地从粉仓中流出，其中石灰粉应不低于JTG/T F20—2015规定的Ⅲ级技术要求，水泥宜采用道路普通硅酸盐水泥，不应采用超早强或超磨细水泥。</w:t>
      </w:r>
    </w:p>
    <w:p w14:paraId="37AFA5B6">
      <w:pPr>
        <w:pStyle w:val="167"/>
        <w:ind w:left="0"/>
      </w:pPr>
      <w:r>
        <w:rPr>
          <w:rFonts w:hint="eastAsia"/>
        </w:rPr>
        <w:t>LSPM填料不准许使用回收粉。</w:t>
      </w:r>
    </w:p>
    <w:p w14:paraId="687513E0">
      <w:pPr>
        <w:pStyle w:val="107"/>
        <w:spacing w:before="156" w:after="156"/>
      </w:pPr>
      <w:bookmarkStart w:id="107" w:name="_Toc198802221"/>
      <w:bookmarkStart w:id="108" w:name="_Toc199251472"/>
      <w:bookmarkStart w:id="109" w:name="_Toc195013006"/>
      <w:bookmarkStart w:id="110" w:name="_Toc198815893"/>
      <w:bookmarkStart w:id="111" w:name="_Toc198816976"/>
      <w:r>
        <w:rPr>
          <w:rFonts w:hint="eastAsia"/>
        </w:rPr>
        <w:t>纤维</w:t>
      </w:r>
      <w:bookmarkEnd w:id="107"/>
      <w:bookmarkEnd w:id="108"/>
      <w:bookmarkEnd w:id="109"/>
      <w:bookmarkEnd w:id="110"/>
      <w:bookmarkEnd w:id="111"/>
    </w:p>
    <w:p w14:paraId="6E8873A1">
      <w:pPr>
        <w:pStyle w:val="167"/>
        <w:ind w:left="0"/>
      </w:pPr>
      <w:r>
        <w:rPr>
          <w:rFonts w:hint="eastAsia"/>
        </w:rPr>
        <w:t>LSPM用纤维宜采用木质素纤维、矿物纤维或聚合物纤维，其技术要求应符合JT/T 533的有关规定。</w:t>
      </w:r>
    </w:p>
    <w:p w14:paraId="03C8DFFA">
      <w:pPr>
        <w:pStyle w:val="167"/>
        <w:ind w:left="0"/>
      </w:pPr>
      <w:r>
        <w:rPr>
          <w:rFonts w:hint="eastAsia"/>
        </w:rPr>
        <w:t>纤维应在室内或有棚盖的地方存储，防止受潮，已受潮、结团不能在拌和时充分分散的纤维不准许使用。</w:t>
      </w:r>
    </w:p>
    <w:p w14:paraId="4C45304B">
      <w:pPr>
        <w:pStyle w:val="106"/>
        <w:spacing w:before="312" w:after="312"/>
      </w:pPr>
      <w:bookmarkStart w:id="112" w:name="_Toc195013007"/>
      <w:bookmarkStart w:id="113" w:name="_Toc169879604"/>
      <w:bookmarkStart w:id="114" w:name="_Toc198815894"/>
      <w:bookmarkStart w:id="115" w:name="_Toc199251473"/>
      <w:bookmarkStart w:id="116" w:name="_Toc198802222"/>
      <w:bookmarkStart w:id="117" w:name="_Toc198816977"/>
      <w:r>
        <w:rPr>
          <w:rFonts w:hint="eastAsia"/>
        </w:rPr>
        <w:t>混合料设计</w:t>
      </w:r>
      <w:bookmarkEnd w:id="112"/>
      <w:bookmarkEnd w:id="113"/>
      <w:bookmarkEnd w:id="114"/>
      <w:bookmarkEnd w:id="115"/>
      <w:bookmarkEnd w:id="116"/>
      <w:bookmarkEnd w:id="117"/>
    </w:p>
    <w:p w14:paraId="155A891C">
      <w:pPr>
        <w:pStyle w:val="107"/>
        <w:spacing w:before="156" w:after="156"/>
      </w:pPr>
      <w:bookmarkStart w:id="118" w:name="_Toc198815895"/>
      <w:bookmarkStart w:id="119" w:name="_Toc198802223"/>
      <w:bookmarkStart w:id="120" w:name="_Toc199251474"/>
      <w:bookmarkStart w:id="121" w:name="_Toc198816978"/>
      <w:r>
        <w:rPr>
          <w:rFonts w:hint="eastAsia"/>
        </w:rPr>
        <w:t>通则</w:t>
      </w:r>
      <w:bookmarkEnd w:id="118"/>
      <w:bookmarkEnd w:id="119"/>
      <w:bookmarkEnd w:id="120"/>
      <w:bookmarkEnd w:id="121"/>
    </w:p>
    <w:p w14:paraId="4D4AC52C">
      <w:pPr>
        <w:pStyle w:val="167"/>
        <w:ind w:left="0"/>
      </w:pPr>
      <w:r>
        <w:rPr>
          <w:rFonts w:hint="eastAsia"/>
        </w:rPr>
        <w:t>LSPM应按照三阶段配合比设计流程进行。</w:t>
      </w:r>
    </w:p>
    <w:p w14:paraId="487B0632">
      <w:pPr>
        <w:pStyle w:val="167"/>
        <w:ind w:left="0"/>
      </w:pPr>
      <w:r>
        <w:rPr>
          <w:rFonts w:hint="eastAsia"/>
        </w:rPr>
        <w:t>LSPM配合比设计可采用</w:t>
      </w:r>
      <w:bookmarkStart w:id="122" w:name="_Hlk189739691"/>
      <w:r>
        <w:rPr>
          <w:rFonts w:hint="eastAsia"/>
        </w:rPr>
        <w:t>大型马歇尔成型方法</w:t>
      </w:r>
      <w:bookmarkEnd w:id="122"/>
      <w:r>
        <w:rPr>
          <w:rFonts w:hint="eastAsia"/>
        </w:rPr>
        <w:t>或旋转压实仪成型方法。</w:t>
      </w:r>
    </w:p>
    <w:p w14:paraId="32A98481">
      <w:pPr>
        <w:pStyle w:val="167"/>
        <w:ind w:left="0"/>
      </w:pPr>
      <w:r>
        <w:rPr>
          <w:rFonts w:hint="eastAsia"/>
        </w:rPr>
        <w:t>沥青胶结料当选用道路石油沥青时，应添加纤维稳定剂以确保混合料性能满足要求。</w:t>
      </w:r>
    </w:p>
    <w:p w14:paraId="2C4D28A0">
      <w:pPr>
        <w:pStyle w:val="167"/>
        <w:ind w:left="0"/>
      </w:pPr>
      <w:r>
        <w:rPr>
          <w:rFonts w:hint="eastAsia"/>
        </w:rPr>
        <w:t>配比设计时应确保LSPM的单粒径骨架连通空隙结构。</w:t>
      </w:r>
    </w:p>
    <w:p w14:paraId="271C3AD9">
      <w:pPr>
        <w:pStyle w:val="107"/>
        <w:spacing w:before="156" w:after="156"/>
      </w:pPr>
      <w:bookmarkStart w:id="123" w:name="_Toc198815896"/>
      <w:bookmarkStart w:id="124" w:name="_Toc169879606"/>
      <w:bookmarkStart w:id="125" w:name="_Toc195013009"/>
      <w:bookmarkStart w:id="126" w:name="_Toc198802224"/>
      <w:bookmarkStart w:id="127" w:name="_Toc199251475"/>
      <w:bookmarkStart w:id="128" w:name="_Toc198816979"/>
      <w:r>
        <w:rPr>
          <w:rFonts w:hint="eastAsia"/>
        </w:rPr>
        <w:t>矿料级配设计</w:t>
      </w:r>
      <w:bookmarkEnd w:id="123"/>
      <w:bookmarkEnd w:id="124"/>
      <w:bookmarkEnd w:id="125"/>
      <w:bookmarkEnd w:id="126"/>
      <w:bookmarkEnd w:id="127"/>
      <w:bookmarkEnd w:id="128"/>
    </w:p>
    <w:p w14:paraId="010A5D92">
      <w:pPr>
        <w:pStyle w:val="58"/>
        <w:ind w:firstLine="420"/>
      </w:pPr>
      <w:r>
        <w:rPr>
          <w:rFonts w:hint="eastAsia"/>
        </w:rPr>
        <w:t>LSPM公称最大粒径不小于19</w:t>
      </w:r>
      <w:r>
        <w:t> </w:t>
      </w:r>
      <w:r>
        <w:rPr>
          <w:rFonts w:hint="eastAsia"/>
        </w:rPr>
        <w:t>mm，其级配与原材料的性能有关，设计矿料级配范围应符合表5的规定。</w:t>
      </w:r>
    </w:p>
    <w:p w14:paraId="05B44923">
      <w:pPr>
        <w:pStyle w:val="114"/>
        <w:spacing w:before="156" w:after="156"/>
      </w:pPr>
      <w:r>
        <w:rPr>
          <w:rFonts w:hint="eastAsia"/>
        </w:rPr>
        <w:t>LSPM设计矿料级配范围</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853"/>
        <w:gridCol w:w="604"/>
        <w:gridCol w:w="615"/>
        <w:gridCol w:w="662"/>
        <w:gridCol w:w="662"/>
        <w:gridCol w:w="640"/>
        <w:gridCol w:w="694"/>
        <w:gridCol w:w="696"/>
        <w:gridCol w:w="608"/>
        <w:gridCol w:w="608"/>
        <w:gridCol w:w="608"/>
        <w:gridCol w:w="608"/>
        <w:gridCol w:w="516"/>
        <w:gridCol w:w="518"/>
        <w:gridCol w:w="518"/>
      </w:tblGrid>
      <w:tr w14:paraId="20320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tblHeader/>
          <w:jc w:val="center"/>
        </w:trPr>
        <w:tc>
          <w:tcPr>
            <w:tcW w:w="453" w:type="pct"/>
            <w:vMerge w:val="restart"/>
            <w:tcBorders>
              <w:top w:val="single" w:color="auto" w:sz="8" w:space="0"/>
              <w:bottom w:val="single" w:color="auto" w:sz="4" w:space="0"/>
            </w:tcBorders>
            <w:vAlign w:val="center"/>
          </w:tcPr>
          <w:p w14:paraId="706685CD">
            <w:pPr>
              <w:adjustRightInd/>
              <w:spacing w:line="240" w:lineRule="auto"/>
              <w:jc w:val="center"/>
              <w:rPr>
                <w:rFonts w:ascii="宋体" w:hAnsi="宋体"/>
                <w:sz w:val="18"/>
                <w:szCs w:val="18"/>
              </w:rPr>
            </w:pPr>
            <w:r>
              <w:rPr>
                <w:rFonts w:ascii="宋体" w:hAnsi="宋体"/>
                <w:sz w:val="18"/>
                <w:szCs w:val="18"/>
              </w:rPr>
              <w:t>级配类型</w:t>
            </w:r>
          </w:p>
        </w:tc>
        <w:tc>
          <w:tcPr>
            <w:tcW w:w="4547" w:type="pct"/>
            <w:gridSpan w:val="14"/>
            <w:tcBorders>
              <w:top w:val="single" w:color="auto" w:sz="8" w:space="0"/>
              <w:bottom w:val="single" w:color="auto" w:sz="4" w:space="0"/>
            </w:tcBorders>
            <w:vAlign w:val="center"/>
          </w:tcPr>
          <w:p w14:paraId="2827F6C1">
            <w:pPr>
              <w:adjustRightInd/>
              <w:spacing w:line="240" w:lineRule="auto"/>
              <w:jc w:val="center"/>
              <w:rPr>
                <w:rFonts w:ascii="宋体" w:hAnsi="宋体"/>
                <w:sz w:val="18"/>
                <w:szCs w:val="18"/>
              </w:rPr>
            </w:pPr>
            <w:r>
              <w:rPr>
                <w:rFonts w:ascii="宋体" w:hAnsi="宋体"/>
                <w:sz w:val="18"/>
                <w:szCs w:val="18"/>
              </w:rPr>
              <w:t>通过下列筛孔（mm）的质量百分率</w:t>
            </w:r>
          </w:p>
        </w:tc>
      </w:tr>
      <w:tr w14:paraId="438D35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567" w:hRule="atLeast"/>
          <w:tblHeader/>
          <w:jc w:val="center"/>
        </w:trPr>
        <w:tc>
          <w:tcPr>
            <w:tcW w:w="453" w:type="pct"/>
            <w:vMerge w:val="continue"/>
            <w:tcBorders>
              <w:top w:val="single" w:color="auto" w:sz="4" w:space="0"/>
              <w:bottom w:val="single" w:color="auto" w:sz="8" w:space="0"/>
            </w:tcBorders>
            <w:vAlign w:val="center"/>
          </w:tcPr>
          <w:p w14:paraId="3A27CC87">
            <w:pPr>
              <w:adjustRightInd/>
              <w:spacing w:line="240" w:lineRule="auto"/>
              <w:jc w:val="center"/>
              <w:rPr>
                <w:rFonts w:ascii="宋体" w:hAnsi="宋体"/>
                <w:sz w:val="18"/>
                <w:szCs w:val="18"/>
              </w:rPr>
            </w:pPr>
          </w:p>
        </w:tc>
        <w:tc>
          <w:tcPr>
            <w:tcW w:w="321" w:type="pct"/>
            <w:tcBorders>
              <w:top w:val="single" w:color="auto" w:sz="4" w:space="0"/>
              <w:bottom w:val="single" w:color="auto" w:sz="8" w:space="0"/>
            </w:tcBorders>
            <w:vAlign w:val="center"/>
          </w:tcPr>
          <w:p w14:paraId="23DE1EC0">
            <w:pPr>
              <w:adjustRightInd/>
              <w:spacing w:line="240" w:lineRule="auto"/>
              <w:jc w:val="center"/>
              <w:rPr>
                <w:rFonts w:ascii="宋体" w:hAnsi="宋体"/>
                <w:sz w:val="18"/>
                <w:szCs w:val="18"/>
              </w:rPr>
            </w:pPr>
            <w:r>
              <w:rPr>
                <w:rFonts w:hint="eastAsia" w:ascii="宋体" w:hAnsi="宋体"/>
                <w:sz w:val="18"/>
                <w:szCs w:val="18"/>
              </w:rPr>
              <w:t>37.5</w:t>
            </w:r>
          </w:p>
        </w:tc>
        <w:tc>
          <w:tcPr>
            <w:tcW w:w="327" w:type="pct"/>
            <w:tcBorders>
              <w:top w:val="single" w:color="auto" w:sz="4" w:space="0"/>
              <w:bottom w:val="single" w:color="auto" w:sz="8" w:space="0"/>
            </w:tcBorders>
            <w:vAlign w:val="center"/>
          </w:tcPr>
          <w:p w14:paraId="1B4E7F13">
            <w:pPr>
              <w:adjustRightInd/>
              <w:spacing w:line="240" w:lineRule="auto"/>
              <w:jc w:val="center"/>
              <w:rPr>
                <w:rFonts w:ascii="宋体" w:hAnsi="宋体"/>
                <w:sz w:val="18"/>
                <w:szCs w:val="18"/>
              </w:rPr>
            </w:pPr>
            <w:r>
              <w:rPr>
                <w:rFonts w:ascii="宋体" w:hAnsi="宋体"/>
                <w:sz w:val="18"/>
                <w:szCs w:val="18"/>
              </w:rPr>
              <w:t>31.5</w:t>
            </w:r>
          </w:p>
        </w:tc>
        <w:tc>
          <w:tcPr>
            <w:tcW w:w="352" w:type="pct"/>
            <w:tcBorders>
              <w:top w:val="single" w:color="auto" w:sz="4" w:space="0"/>
              <w:bottom w:val="single" w:color="auto" w:sz="8" w:space="0"/>
            </w:tcBorders>
            <w:vAlign w:val="center"/>
          </w:tcPr>
          <w:p w14:paraId="2D6DAEC8">
            <w:pPr>
              <w:adjustRightInd/>
              <w:spacing w:line="240" w:lineRule="auto"/>
              <w:jc w:val="center"/>
              <w:rPr>
                <w:rFonts w:ascii="宋体" w:hAnsi="宋体"/>
                <w:sz w:val="18"/>
                <w:szCs w:val="18"/>
              </w:rPr>
            </w:pPr>
            <w:r>
              <w:rPr>
                <w:rFonts w:ascii="宋体" w:hAnsi="宋体"/>
                <w:sz w:val="18"/>
                <w:szCs w:val="18"/>
              </w:rPr>
              <w:t>26.5</w:t>
            </w:r>
          </w:p>
        </w:tc>
        <w:tc>
          <w:tcPr>
            <w:tcW w:w="352" w:type="pct"/>
            <w:tcBorders>
              <w:top w:val="single" w:color="auto" w:sz="4" w:space="0"/>
              <w:bottom w:val="single" w:color="auto" w:sz="8" w:space="0"/>
            </w:tcBorders>
            <w:vAlign w:val="center"/>
          </w:tcPr>
          <w:p w14:paraId="63D6EEF1">
            <w:pPr>
              <w:adjustRightInd/>
              <w:spacing w:line="240" w:lineRule="auto"/>
              <w:jc w:val="center"/>
              <w:rPr>
                <w:rFonts w:ascii="宋体" w:hAnsi="宋体"/>
                <w:sz w:val="18"/>
                <w:szCs w:val="18"/>
              </w:rPr>
            </w:pPr>
            <w:r>
              <w:rPr>
                <w:rFonts w:ascii="宋体" w:hAnsi="宋体"/>
                <w:sz w:val="18"/>
                <w:szCs w:val="18"/>
              </w:rPr>
              <w:t>19</w:t>
            </w:r>
          </w:p>
        </w:tc>
        <w:tc>
          <w:tcPr>
            <w:tcW w:w="340" w:type="pct"/>
            <w:tcBorders>
              <w:top w:val="single" w:color="auto" w:sz="4" w:space="0"/>
              <w:bottom w:val="single" w:color="auto" w:sz="8" w:space="0"/>
            </w:tcBorders>
            <w:vAlign w:val="center"/>
          </w:tcPr>
          <w:p w14:paraId="47998DE9">
            <w:pPr>
              <w:adjustRightInd/>
              <w:spacing w:line="240" w:lineRule="auto"/>
              <w:jc w:val="center"/>
              <w:rPr>
                <w:rFonts w:ascii="宋体" w:hAnsi="宋体"/>
                <w:sz w:val="18"/>
                <w:szCs w:val="18"/>
              </w:rPr>
            </w:pPr>
            <w:r>
              <w:rPr>
                <w:rFonts w:ascii="宋体" w:hAnsi="宋体"/>
                <w:sz w:val="18"/>
                <w:szCs w:val="18"/>
              </w:rPr>
              <w:t>16</w:t>
            </w:r>
          </w:p>
        </w:tc>
        <w:tc>
          <w:tcPr>
            <w:tcW w:w="369" w:type="pct"/>
            <w:tcBorders>
              <w:top w:val="single" w:color="auto" w:sz="4" w:space="0"/>
              <w:bottom w:val="single" w:color="auto" w:sz="8" w:space="0"/>
            </w:tcBorders>
            <w:vAlign w:val="center"/>
          </w:tcPr>
          <w:p w14:paraId="68E5EEDF">
            <w:pPr>
              <w:adjustRightInd/>
              <w:spacing w:line="240" w:lineRule="auto"/>
              <w:jc w:val="center"/>
              <w:rPr>
                <w:rFonts w:ascii="宋体" w:hAnsi="宋体"/>
                <w:sz w:val="18"/>
                <w:szCs w:val="18"/>
              </w:rPr>
            </w:pPr>
            <w:r>
              <w:rPr>
                <w:rFonts w:ascii="宋体" w:hAnsi="宋体"/>
                <w:sz w:val="18"/>
                <w:szCs w:val="18"/>
              </w:rPr>
              <w:t>13.2</w:t>
            </w:r>
          </w:p>
        </w:tc>
        <w:tc>
          <w:tcPr>
            <w:tcW w:w="370" w:type="pct"/>
            <w:tcBorders>
              <w:top w:val="single" w:color="auto" w:sz="4" w:space="0"/>
              <w:bottom w:val="single" w:color="auto" w:sz="8" w:space="0"/>
            </w:tcBorders>
            <w:vAlign w:val="center"/>
          </w:tcPr>
          <w:p w14:paraId="5809C8F0">
            <w:pPr>
              <w:adjustRightInd/>
              <w:spacing w:line="240" w:lineRule="auto"/>
              <w:jc w:val="center"/>
              <w:rPr>
                <w:rFonts w:ascii="宋体" w:hAnsi="宋体"/>
                <w:sz w:val="18"/>
                <w:szCs w:val="18"/>
              </w:rPr>
            </w:pPr>
            <w:r>
              <w:rPr>
                <w:rFonts w:ascii="宋体" w:hAnsi="宋体"/>
                <w:sz w:val="18"/>
                <w:szCs w:val="18"/>
              </w:rPr>
              <w:t>9.5</w:t>
            </w:r>
          </w:p>
        </w:tc>
        <w:tc>
          <w:tcPr>
            <w:tcW w:w="323" w:type="pct"/>
            <w:tcBorders>
              <w:top w:val="single" w:color="auto" w:sz="4" w:space="0"/>
              <w:bottom w:val="single" w:color="auto" w:sz="8" w:space="0"/>
            </w:tcBorders>
            <w:vAlign w:val="center"/>
          </w:tcPr>
          <w:p w14:paraId="0A6E768F">
            <w:pPr>
              <w:adjustRightInd/>
              <w:spacing w:line="240" w:lineRule="auto"/>
              <w:jc w:val="center"/>
              <w:rPr>
                <w:rFonts w:ascii="宋体" w:hAnsi="宋体"/>
                <w:sz w:val="18"/>
                <w:szCs w:val="18"/>
              </w:rPr>
            </w:pPr>
            <w:r>
              <w:rPr>
                <w:rFonts w:ascii="宋体" w:hAnsi="宋体"/>
                <w:sz w:val="18"/>
                <w:szCs w:val="18"/>
              </w:rPr>
              <w:t>4.75</w:t>
            </w:r>
          </w:p>
        </w:tc>
        <w:tc>
          <w:tcPr>
            <w:tcW w:w="323" w:type="pct"/>
            <w:tcBorders>
              <w:top w:val="single" w:color="auto" w:sz="4" w:space="0"/>
              <w:bottom w:val="single" w:color="auto" w:sz="8" w:space="0"/>
            </w:tcBorders>
            <w:vAlign w:val="center"/>
          </w:tcPr>
          <w:p w14:paraId="4AC6F77B">
            <w:pPr>
              <w:adjustRightInd/>
              <w:spacing w:line="240" w:lineRule="auto"/>
              <w:jc w:val="center"/>
              <w:rPr>
                <w:rFonts w:ascii="宋体" w:hAnsi="宋体"/>
                <w:sz w:val="18"/>
                <w:szCs w:val="18"/>
              </w:rPr>
            </w:pPr>
            <w:r>
              <w:rPr>
                <w:rFonts w:ascii="宋体" w:hAnsi="宋体"/>
                <w:sz w:val="18"/>
                <w:szCs w:val="18"/>
              </w:rPr>
              <w:t>2.36</w:t>
            </w:r>
          </w:p>
        </w:tc>
        <w:tc>
          <w:tcPr>
            <w:tcW w:w="323" w:type="pct"/>
            <w:tcBorders>
              <w:top w:val="single" w:color="auto" w:sz="4" w:space="0"/>
              <w:bottom w:val="single" w:color="auto" w:sz="8" w:space="0"/>
            </w:tcBorders>
            <w:vAlign w:val="center"/>
          </w:tcPr>
          <w:p w14:paraId="4E1117FA">
            <w:pPr>
              <w:adjustRightInd/>
              <w:spacing w:line="240" w:lineRule="auto"/>
              <w:jc w:val="center"/>
              <w:rPr>
                <w:rFonts w:ascii="宋体" w:hAnsi="宋体"/>
                <w:sz w:val="18"/>
                <w:szCs w:val="18"/>
              </w:rPr>
            </w:pPr>
            <w:r>
              <w:rPr>
                <w:rFonts w:ascii="宋体" w:hAnsi="宋体"/>
                <w:sz w:val="18"/>
                <w:szCs w:val="18"/>
              </w:rPr>
              <w:t>1.18</w:t>
            </w:r>
          </w:p>
        </w:tc>
        <w:tc>
          <w:tcPr>
            <w:tcW w:w="323" w:type="pct"/>
            <w:tcBorders>
              <w:top w:val="single" w:color="auto" w:sz="4" w:space="0"/>
              <w:bottom w:val="single" w:color="auto" w:sz="8" w:space="0"/>
            </w:tcBorders>
            <w:vAlign w:val="center"/>
          </w:tcPr>
          <w:p w14:paraId="00D1BA0D">
            <w:pPr>
              <w:adjustRightInd/>
              <w:spacing w:line="240" w:lineRule="auto"/>
              <w:jc w:val="center"/>
              <w:rPr>
                <w:rFonts w:ascii="宋体" w:hAnsi="宋体"/>
                <w:sz w:val="18"/>
                <w:szCs w:val="18"/>
              </w:rPr>
            </w:pPr>
            <w:r>
              <w:rPr>
                <w:rFonts w:ascii="宋体" w:hAnsi="宋体"/>
                <w:sz w:val="18"/>
                <w:szCs w:val="18"/>
              </w:rPr>
              <w:t>0.6</w:t>
            </w:r>
          </w:p>
        </w:tc>
        <w:tc>
          <w:tcPr>
            <w:tcW w:w="274" w:type="pct"/>
            <w:tcBorders>
              <w:top w:val="single" w:color="auto" w:sz="4" w:space="0"/>
              <w:bottom w:val="single" w:color="auto" w:sz="8" w:space="0"/>
            </w:tcBorders>
            <w:vAlign w:val="center"/>
          </w:tcPr>
          <w:p w14:paraId="08DB2B3D">
            <w:pPr>
              <w:adjustRightInd/>
              <w:spacing w:line="240" w:lineRule="auto"/>
              <w:jc w:val="center"/>
              <w:rPr>
                <w:rFonts w:ascii="宋体" w:hAnsi="宋体"/>
                <w:sz w:val="18"/>
                <w:szCs w:val="18"/>
              </w:rPr>
            </w:pPr>
            <w:r>
              <w:rPr>
                <w:rFonts w:ascii="宋体" w:hAnsi="宋体"/>
                <w:sz w:val="18"/>
                <w:szCs w:val="18"/>
              </w:rPr>
              <w:t>0.3</w:t>
            </w:r>
          </w:p>
        </w:tc>
        <w:tc>
          <w:tcPr>
            <w:tcW w:w="275" w:type="pct"/>
            <w:tcBorders>
              <w:top w:val="single" w:color="auto" w:sz="4" w:space="0"/>
              <w:bottom w:val="single" w:color="auto" w:sz="8" w:space="0"/>
            </w:tcBorders>
            <w:vAlign w:val="center"/>
          </w:tcPr>
          <w:p w14:paraId="5B168493">
            <w:pPr>
              <w:adjustRightInd/>
              <w:spacing w:line="240" w:lineRule="auto"/>
              <w:jc w:val="center"/>
              <w:rPr>
                <w:rFonts w:ascii="宋体" w:hAnsi="宋体"/>
                <w:sz w:val="18"/>
                <w:szCs w:val="18"/>
              </w:rPr>
            </w:pPr>
            <w:r>
              <w:rPr>
                <w:rFonts w:ascii="宋体" w:hAnsi="宋体"/>
                <w:sz w:val="18"/>
                <w:szCs w:val="18"/>
              </w:rPr>
              <w:t>0.15</w:t>
            </w:r>
          </w:p>
        </w:tc>
        <w:tc>
          <w:tcPr>
            <w:tcW w:w="275" w:type="pct"/>
            <w:tcBorders>
              <w:top w:val="single" w:color="auto" w:sz="4" w:space="0"/>
              <w:bottom w:val="single" w:color="auto" w:sz="8" w:space="0"/>
            </w:tcBorders>
            <w:vAlign w:val="center"/>
          </w:tcPr>
          <w:p w14:paraId="09E8D056">
            <w:pPr>
              <w:adjustRightInd/>
              <w:spacing w:line="240" w:lineRule="auto"/>
              <w:jc w:val="center"/>
              <w:rPr>
                <w:rFonts w:ascii="宋体" w:hAnsi="宋体"/>
                <w:sz w:val="18"/>
                <w:szCs w:val="18"/>
              </w:rPr>
            </w:pPr>
            <w:r>
              <w:rPr>
                <w:rFonts w:ascii="宋体" w:hAnsi="宋体"/>
                <w:sz w:val="18"/>
                <w:szCs w:val="18"/>
              </w:rPr>
              <w:t>0.075</w:t>
            </w:r>
          </w:p>
        </w:tc>
      </w:tr>
      <w:tr w14:paraId="05CDD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737" w:hRule="atLeast"/>
          <w:tblHeader/>
          <w:jc w:val="center"/>
        </w:trPr>
        <w:tc>
          <w:tcPr>
            <w:tcW w:w="453" w:type="pct"/>
            <w:tcBorders>
              <w:top w:val="single" w:color="auto" w:sz="8" w:space="0"/>
            </w:tcBorders>
            <w:vAlign w:val="center"/>
          </w:tcPr>
          <w:p w14:paraId="1B4F38C8">
            <w:pPr>
              <w:adjustRightInd/>
              <w:spacing w:line="240" w:lineRule="auto"/>
              <w:jc w:val="center"/>
              <w:rPr>
                <w:rFonts w:ascii="宋体" w:hAnsi="宋体"/>
                <w:sz w:val="18"/>
                <w:szCs w:val="18"/>
              </w:rPr>
            </w:pPr>
            <w:r>
              <w:rPr>
                <w:rFonts w:ascii="宋体" w:hAnsi="宋体"/>
                <w:sz w:val="18"/>
                <w:szCs w:val="18"/>
              </w:rPr>
              <w:t>LSPM-20</w:t>
            </w:r>
          </w:p>
        </w:tc>
        <w:tc>
          <w:tcPr>
            <w:tcW w:w="321" w:type="pct"/>
            <w:tcBorders>
              <w:top w:val="single" w:color="auto" w:sz="8" w:space="0"/>
            </w:tcBorders>
            <w:vAlign w:val="center"/>
          </w:tcPr>
          <w:p w14:paraId="49421B96">
            <w:pPr>
              <w:adjustRightInd/>
              <w:spacing w:line="240" w:lineRule="auto"/>
              <w:jc w:val="center"/>
              <w:rPr>
                <w:rFonts w:ascii="宋体" w:hAnsi="宋体"/>
                <w:sz w:val="18"/>
                <w:szCs w:val="18"/>
              </w:rPr>
            </w:pPr>
            <w:r>
              <w:rPr>
                <w:rFonts w:hint="eastAsia" w:ascii="宋体" w:hAnsi="宋体"/>
                <w:sz w:val="18"/>
                <w:szCs w:val="18"/>
              </w:rPr>
              <w:t>—</w:t>
            </w:r>
          </w:p>
        </w:tc>
        <w:tc>
          <w:tcPr>
            <w:tcW w:w="327" w:type="pct"/>
            <w:tcBorders>
              <w:top w:val="single" w:color="auto" w:sz="8" w:space="0"/>
            </w:tcBorders>
            <w:vAlign w:val="center"/>
          </w:tcPr>
          <w:p w14:paraId="0829158C">
            <w:pPr>
              <w:adjustRightInd/>
              <w:spacing w:line="240" w:lineRule="auto"/>
              <w:jc w:val="center"/>
              <w:rPr>
                <w:rFonts w:ascii="宋体" w:hAnsi="宋体"/>
                <w:sz w:val="18"/>
                <w:szCs w:val="18"/>
              </w:rPr>
            </w:pPr>
            <w:r>
              <w:rPr>
                <w:rFonts w:hint="eastAsia" w:ascii="宋体" w:hAnsi="宋体"/>
                <w:sz w:val="18"/>
                <w:szCs w:val="18"/>
              </w:rPr>
              <w:t>—</w:t>
            </w:r>
          </w:p>
        </w:tc>
        <w:tc>
          <w:tcPr>
            <w:tcW w:w="352" w:type="pct"/>
            <w:tcBorders>
              <w:top w:val="single" w:color="auto" w:sz="8" w:space="0"/>
            </w:tcBorders>
            <w:vAlign w:val="center"/>
          </w:tcPr>
          <w:p w14:paraId="2B2C5D59">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00</w:t>
            </w:r>
            <w:r>
              <w:rPr>
                <w:rFonts w:hint="eastAsia" w:ascii="宋体" w:hAnsi="宋体"/>
                <w:sz w:val="18"/>
                <w:szCs w:val="18"/>
              </w:rPr>
              <w:t>％</w:t>
            </w:r>
          </w:p>
        </w:tc>
        <w:tc>
          <w:tcPr>
            <w:tcW w:w="352" w:type="pct"/>
            <w:tcBorders>
              <w:top w:val="single" w:color="auto" w:sz="8" w:space="0"/>
            </w:tcBorders>
            <w:vAlign w:val="center"/>
          </w:tcPr>
          <w:p w14:paraId="6005EFBA">
            <w:pPr>
              <w:adjustRightInd/>
              <w:spacing w:line="240" w:lineRule="auto"/>
              <w:jc w:val="center"/>
              <w:rPr>
                <w:rFonts w:ascii="宋体" w:hAnsi="宋体"/>
                <w:sz w:val="18"/>
                <w:szCs w:val="18"/>
              </w:rPr>
            </w:pPr>
            <w:r>
              <w:rPr>
                <w:rFonts w:hint="eastAsia" w:ascii="宋体" w:hAnsi="宋体"/>
                <w:sz w:val="18"/>
                <w:szCs w:val="18"/>
              </w:rPr>
              <w:t>8</w:t>
            </w:r>
            <w:r>
              <w:rPr>
                <w:rFonts w:ascii="宋体" w:hAnsi="宋体"/>
                <w:sz w:val="18"/>
                <w:szCs w:val="18"/>
              </w:rPr>
              <w:t>0</w:t>
            </w:r>
            <w:r>
              <w:rPr>
                <w:rFonts w:hint="eastAsia" w:ascii="宋体" w:hAnsi="宋体"/>
                <w:sz w:val="18"/>
                <w:szCs w:val="18"/>
              </w:rPr>
              <w:t>％～</w:t>
            </w:r>
            <w:r>
              <w:rPr>
                <w:rFonts w:ascii="宋体" w:hAnsi="宋体"/>
                <w:sz w:val="18"/>
                <w:szCs w:val="18"/>
              </w:rPr>
              <w:t>9</w:t>
            </w:r>
            <w:r>
              <w:rPr>
                <w:rFonts w:hint="eastAsia" w:ascii="宋体" w:hAnsi="宋体"/>
                <w:sz w:val="18"/>
                <w:szCs w:val="18"/>
              </w:rPr>
              <w:t>5％</w:t>
            </w:r>
          </w:p>
        </w:tc>
        <w:tc>
          <w:tcPr>
            <w:tcW w:w="340" w:type="pct"/>
            <w:tcBorders>
              <w:top w:val="single" w:color="auto" w:sz="8" w:space="0"/>
            </w:tcBorders>
            <w:vAlign w:val="center"/>
          </w:tcPr>
          <w:p w14:paraId="5ECAAEF3">
            <w:pPr>
              <w:adjustRightInd/>
              <w:spacing w:line="240" w:lineRule="auto"/>
              <w:jc w:val="center"/>
              <w:rPr>
                <w:rFonts w:ascii="宋体" w:hAnsi="宋体"/>
                <w:sz w:val="18"/>
                <w:szCs w:val="18"/>
              </w:rPr>
            </w:pPr>
            <w:r>
              <w:rPr>
                <w:rFonts w:hint="eastAsia" w:ascii="宋体" w:hAnsi="宋体"/>
                <w:sz w:val="18"/>
                <w:szCs w:val="18"/>
              </w:rPr>
              <w:t>58％～85％</w:t>
            </w:r>
          </w:p>
        </w:tc>
        <w:tc>
          <w:tcPr>
            <w:tcW w:w="369" w:type="pct"/>
            <w:tcBorders>
              <w:top w:val="single" w:color="auto" w:sz="8" w:space="0"/>
            </w:tcBorders>
            <w:vAlign w:val="center"/>
          </w:tcPr>
          <w:p w14:paraId="20A68E33">
            <w:pPr>
              <w:adjustRightInd/>
              <w:spacing w:line="240" w:lineRule="auto"/>
              <w:jc w:val="center"/>
              <w:rPr>
                <w:rFonts w:ascii="宋体" w:hAnsi="宋体"/>
                <w:sz w:val="18"/>
                <w:szCs w:val="18"/>
              </w:rPr>
            </w:pPr>
            <w:r>
              <w:rPr>
                <w:rFonts w:hint="eastAsia" w:ascii="宋体" w:hAnsi="宋体"/>
                <w:sz w:val="18"/>
                <w:szCs w:val="18"/>
              </w:rPr>
              <w:t>45％～68％</w:t>
            </w:r>
          </w:p>
        </w:tc>
        <w:tc>
          <w:tcPr>
            <w:tcW w:w="370" w:type="pct"/>
            <w:tcBorders>
              <w:top w:val="single" w:color="auto" w:sz="8" w:space="0"/>
            </w:tcBorders>
            <w:vAlign w:val="center"/>
          </w:tcPr>
          <w:p w14:paraId="30A9FFEA">
            <w:pPr>
              <w:adjustRightInd/>
              <w:spacing w:line="240" w:lineRule="auto"/>
              <w:jc w:val="center"/>
              <w:rPr>
                <w:rFonts w:ascii="宋体" w:hAnsi="宋体"/>
                <w:sz w:val="18"/>
                <w:szCs w:val="18"/>
              </w:rPr>
            </w:pPr>
            <w:r>
              <w:rPr>
                <w:rFonts w:hint="eastAsia" w:ascii="宋体" w:hAnsi="宋体"/>
                <w:sz w:val="18"/>
                <w:szCs w:val="18"/>
              </w:rPr>
              <w:t>32％～52％</w:t>
            </w:r>
          </w:p>
        </w:tc>
        <w:tc>
          <w:tcPr>
            <w:tcW w:w="323" w:type="pct"/>
            <w:tcBorders>
              <w:top w:val="single" w:color="auto" w:sz="8" w:space="0"/>
            </w:tcBorders>
            <w:vAlign w:val="center"/>
          </w:tcPr>
          <w:p w14:paraId="04CB6F21">
            <w:pPr>
              <w:adjustRightInd/>
              <w:spacing w:line="240" w:lineRule="auto"/>
              <w:jc w:val="center"/>
              <w:rPr>
                <w:rFonts w:ascii="宋体" w:hAnsi="宋体"/>
                <w:sz w:val="18"/>
                <w:szCs w:val="18"/>
              </w:rPr>
            </w:pPr>
            <w:r>
              <w:rPr>
                <w:rFonts w:hint="eastAsia" w:ascii="宋体" w:hAnsi="宋体"/>
                <w:sz w:val="18"/>
                <w:szCs w:val="18"/>
              </w:rPr>
              <w:t>12％～29％</w:t>
            </w:r>
          </w:p>
        </w:tc>
        <w:tc>
          <w:tcPr>
            <w:tcW w:w="323" w:type="pct"/>
            <w:tcBorders>
              <w:top w:val="single" w:color="auto" w:sz="8" w:space="0"/>
            </w:tcBorders>
            <w:vAlign w:val="center"/>
          </w:tcPr>
          <w:p w14:paraId="0B730488">
            <w:pPr>
              <w:adjustRightInd/>
              <w:spacing w:line="240" w:lineRule="auto"/>
              <w:jc w:val="center"/>
              <w:rPr>
                <w:rFonts w:ascii="宋体" w:hAnsi="宋体"/>
                <w:sz w:val="18"/>
                <w:szCs w:val="18"/>
              </w:rPr>
            </w:pPr>
            <w:r>
              <w:rPr>
                <w:rFonts w:hint="eastAsia" w:ascii="宋体" w:hAnsi="宋体"/>
                <w:sz w:val="18"/>
                <w:szCs w:val="18"/>
              </w:rPr>
              <w:t>6％～18％</w:t>
            </w:r>
          </w:p>
        </w:tc>
        <w:tc>
          <w:tcPr>
            <w:tcW w:w="323" w:type="pct"/>
            <w:tcBorders>
              <w:top w:val="single" w:color="auto" w:sz="8" w:space="0"/>
            </w:tcBorders>
            <w:vAlign w:val="center"/>
          </w:tcPr>
          <w:p w14:paraId="56818A14">
            <w:pPr>
              <w:adjustRightInd/>
              <w:spacing w:line="240" w:lineRule="auto"/>
              <w:jc w:val="center"/>
              <w:rPr>
                <w:rFonts w:ascii="宋体" w:hAnsi="宋体"/>
                <w:sz w:val="18"/>
                <w:szCs w:val="18"/>
              </w:rPr>
            </w:pPr>
            <w:r>
              <w:rPr>
                <w:rFonts w:hint="eastAsia" w:ascii="宋体" w:hAnsi="宋体"/>
                <w:sz w:val="18"/>
                <w:szCs w:val="18"/>
              </w:rPr>
              <w:t>5％～15％</w:t>
            </w:r>
          </w:p>
        </w:tc>
        <w:tc>
          <w:tcPr>
            <w:tcW w:w="323" w:type="pct"/>
            <w:tcBorders>
              <w:top w:val="single" w:color="auto" w:sz="8" w:space="0"/>
            </w:tcBorders>
            <w:vAlign w:val="center"/>
          </w:tcPr>
          <w:p w14:paraId="429B15B4">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～10％</w:t>
            </w:r>
          </w:p>
        </w:tc>
        <w:tc>
          <w:tcPr>
            <w:tcW w:w="274" w:type="pct"/>
            <w:tcBorders>
              <w:top w:val="single" w:color="auto" w:sz="8" w:space="0"/>
            </w:tcBorders>
            <w:vAlign w:val="center"/>
          </w:tcPr>
          <w:p w14:paraId="529C7E92">
            <w:pPr>
              <w:adjustRightInd/>
              <w:spacing w:line="240" w:lineRule="auto"/>
              <w:jc w:val="center"/>
              <w:rPr>
                <w:rFonts w:ascii="宋体" w:hAnsi="宋体"/>
                <w:sz w:val="18"/>
                <w:szCs w:val="18"/>
              </w:rPr>
            </w:pPr>
            <w:r>
              <w:rPr>
                <w:rFonts w:hint="eastAsia" w:ascii="宋体" w:hAnsi="宋体"/>
                <w:sz w:val="18"/>
                <w:szCs w:val="18"/>
              </w:rPr>
              <w:t>1％～7％</w:t>
            </w:r>
          </w:p>
        </w:tc>
        <w:tc>
          <w:tcPr>
            <w:tcW w:w="275" w:type="pct"/>
            <w:tcBorders>
              <w:top w:val="single" w:color="auto" w:sz="8" w:space="0"/>
            </w:tcBorders>
            <w:vAlign w:val="center"/>
          </w:tcPr>
          <w:p w14:paraId="58B07B42">
            <w:pPr>
              <w:adjustRightInd/>
              <w:spacing w:line="240" w:lineRule="auto"/>
              <w:jc w:val="center"/>
              <w:rPr>
                <w:rFonts w:ascii="宋体" w:hAnsi="宋体"/>
                <w:sz w:val="18"/>
                <w:szCs w:val="18"/>
              </w:rPr>
            </w:pPr>
            <w:r>
              <w:rPr>
                <w:rFonts w:hint="eastAsia" w:ascii="宋体" w:hAnsi="宋体"/>
                <w:sz w:val="18"/>
                <w:szCs w:val="18"/>
              </w:rPr>
              <w:t>1％～6％</w:t>
            </w:r>
          </w:p>
        </w:tc>
        <w:tc>
          <w:tcPr>
            <w:tcW w:w="275" w:type="pct"/>
            <w:tcBorders>
              <w:top w:val="single" w:color="auto" w:sz="8" w:space="0"/>
            </w:tcBorders>
            <w:vAlign w:val="center"/>
          </w:tcPr>
          <w:p w14:paraId="0575731D">
            <w:pPr>
              <w:adjustRightInd/>
              <w:spacing w:line="240" w:lineRule="auto"/>
              <w:jc w:val="center"/>
              <w:rPr>
                <w:rFonts w:ascii="宋体" w:hAnsi="宋体"/>
                <w:sz w:val="18"/>
                <w:szCs w:val="18"/>
              </w:rPr>
            </w:pPr>
            <w:r>
              <w:rPr>
                <w:rFonts w:hint="eastAsia" w:ascii="宋体" w:hAnsi="宋体"/>
                <w:sz w:val="18"/>
                <w:szCs w:val="18"/>
              </w:rPr>
              <w:t>1％～4％</w:t>
            </w:r>
          </w:p>
        </w:tc>
      </w:tr>
      <w:tr w14:paraId="6B82DD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737" w:hRule="atLeast"/>
          <w:tblHeader/>
          <w:jc w:val="center"/>
        </w:trPr>
        <w:tc>
          <w:tcPr>
            <w:tcW w:w="453" w:type="pct"/>
            <w:vAlign w:val="center"/>
          </w:tcPr>
          <w:p w14:paraId="446708CA">
            <w:pPr>
              <w:adjustRightInd/>
              <w:spacing w:line="240" w:lineRule="auto"/>
              <w:jc w:val="center"/>
              <w:rPr>
                <w:rFonts w:ascii="宋体" w:hAnsi="宋体"/>
                <w:sz w:val="18"/>
                <w:szCs w:val="18"/>
              </w:rPr>
            </w:pPr>
            <w:r>
              <w:rPr>
                <w:rFonts w:ascii="宋体" w:hAnsi="宋体"/>
                <w:sz w:val="18"/>
                <w:szCs w:val="18"/>
              </w:rPr>
              <w:t>LSPM-25</w:t>
            </w:r>
          </w:p>
        </w:tc>
        <w:tc>
          <w:tcPr>
            <w:tcW w:w="321" w:type="pct"/>
            <w:vAlign w:val="center"/>
          </w:tcPr>
          <w:p w14:paraId="3FC8F4B7">
            <w:pPr>
              <w:adjustRightInd/>
              <w:spacing w:line="240" w:lineRule="auto"/>
              <w:jc w:val="center"/>
              <w:rPr>
                <w:rFonts w:ascii="宋体" w:hAnsi="宋体"/>
                <w:sz w:val="18"/>
                <w:szCs w:val="18"/>
              </w:rPr>
            </w:pPr>
            <w:r>
              <w:rPr>
                <w:rFonts w:hint="eastAsia" w:ascii="宋体" w:hAnsi="宋体"/>
                <w:sz w:val="18"/>
                <w:szCs w:val="18"/>
              </w:rPr>
              <w:t>—</w:t>
            </w:r>
          </w:p>
        </w:tc>
        <w:tc>
          <w:tcPr>
            <w:tcW w:w="327" w:type="pct"/>
            <w:vAlign w:val="center"/>
          </w:tcPr>
          <w:p w14:paraId="1B60E753">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00</w:t>
            </w:r>
            <w:r>
              <w:rPr>
                <w:rFonts w:hint="eastAsia" w:ascii="宋体" w:hAnsi="宋体"/>
                <w:sz w:val="18"/>
                <w:szCs w:val="18"/>
              </w:rPr>
              <w:t>％</w:t>
            </w:r>
          </w:p>
        </w:tc>
        <w:tc>
          <w:tcPr>
            <w:tcW w:w="352" w:type="pct"/>
            <w:vAlign w:val="center"/>
          </w:tcPr>
          <w:p w14:paraId="6F9722A2">
            <w:pPr>
              <w:adjustRightInd/>
              <w:spacing w:line="240" w:lineRule="auto"/>
              <w:jc w:val="center"/>
              <w:rPr>
                <w:rFonts w:ascii="宋体" w:hAnsi="宋体"/>
                <w:sz w:val="18"/>
                <w:szCs w:val="18"/>
              </w:rPr>
            </w:pPr>
            <w:r>
              <w:rPr>
                <w:rFonts w:hint="eastAsia" w:ascii="宋体" w:hAnsi="宋体"/>
                <w:sz w:val="18"/>
                <w:szCs w:val="18"/>
              </w:rPr>
              <w:t>8</w:t>
            </w:r>
            <w:r>
              <w:rPr>
                <w:rFonts w:ascii="宋体" w:hAnsi="宋体"/>
                <w:sz w:val="18"/>
                <w:szCs w:val="18"/>
              </w:rPr>
              <w:t>0</w:t>
            </w:r>
            <w:r>
              <w:rPr>
                <w:rFonts w:hint="eastAsia" w:ascii="宋体" w:hAnsi="宋体"/>
                <w:sz w:val="18"/>
                <w:szCs w:val="18"/>
              </w:rPr>
              <w:t>％～100％</w:t>
            </w:r>
          </w:p>
        </w:tc>
        <w:tc>
          <w:tcPr>
            <w:tcW w:w="352" w:type="pct"/>
            <w:vAlign w:val="center"/>
          </w:tcPr>
          <w:p w14:paraId="141885A2">
            <w:pPr>
              <w:adjustRightInd/>
              <w:spacing w:line="240" w:lineRule="auto"/>
              <w:jc w:val="center"/>
              <w:rPr>
                <w:rFonts w:ascii="宋体" w:hAnsi="宋体"/>
                <w:sz w:val="18"/>
                <w:szCs w:val="18"/>
              </w:rPr>
            </w:pPr>
            <w:r>
              <w:rPr>
                <w:rFonts w:hint="eastAsia" w:ascii="宋体" w:hAnsi="宋体"/>
                <w:sz w:val="18"/>
                <w:szCs w:val="18"/>
              </w:rPr>
              <w:t>5</w:t>
            </w:r>
            <w:r>
              <w:rPr>
                <w:rFonts w:ascii="宋体" w:hAnsi="宋体"/>
                <w:sz w:val="18"/>
                <w:szCs w:val="18"/>
              </w:rPr>
              <w:t>0</w:t>
            </w:r>
            <w:r>
              <w:rPr>
                <w:rFonts w:hint="eastAsia" w:ascii="宋体" w:hAnsi="宋体"/>
                <w:sz w:val="18"/>
                <w:szCs w:val="18"/>
              </w:rPr>
              <w:t>％～82％</w:t>
            </w:r>
          </w:p>
        </w:tc>
        <w:tc>
          <w:tcPr>
            <w:tcW w:w="340" w:type="pct"/>
            <w:vAlign w:val="center"/>
          </w:tcPr>
          <w:p w14:paraId="0BCB572B">
            <w:pPr>
              <w:adjustRightInd/>
              <w:spacing w:line="240" w:lineRule="auto"/>
              <w:jc w:val="center"/>
              <w:rPr>
                <w:rFonts w:ascii="宋体" w:hAnsi="宋体"/>
                <w:sz w:val="18"/>
                <w:szCs w:val="18"/>
              </w:rPr>
            </w:pPr>
            <w:r>
              <w:rPr>
                <w:rFonts w:hint="eastAsia" w:ascii="宋体" w:hAnsi="宋体"/>
                <w:sz w:val="18"/>
                <w:szCs w:val="18"/>
              </w:rPr>
              <w:t>40％～72％</w:t>
            </w:r>
          </w:p>
        </w:tc>
        <w:tc>
          <w:tcPr>
            <w:tcW w:w="369" w:type="pct"/>
            <w:vAlign w:val="center"/>
          </w:tcPr>
          <w:p w14:paraId="12DBD2C2">
            <w:pPr>
              <w:adjustRightInd/>
              <w:spacing w:line="240" w:lineRule="auto"/>
              <w:jc w:val="center"/>
              <w:rPr>
                <w:rFonts w:ascii="宋体" w:hAnsi="宋体"/>
                <w:sz w:val="18"/>
                <w:szCs w:val="18"/>
              </w:rPr>
            </w:pPr>
            <w:r>
              <w:rPr>
                <w:rFonts w:hint="eastAsia" w:ascii="宋体" w:hAnsi="宋体"/>
                <w:sz w:val="18"/>
                <w:szCs w:val="18"/>
              </w:rPr>
              <w:t>30％～62％</w:t>
            </w:r>
          </w:p>
        </w:tc>
        <w:tc>
          <w:tcPr>
            <w:tcW w:w="370" w:type="pct"/>
            <w:vAlign w:val="center"/>
          </w:tcPr>
          <w:p w14:paraId="1631108E">
            <w:pPr>
              <w:adjustRightInd/>
              <w:spacing w:line="240" w:lineRule="auto"/>
              <w:jc w:val="center"/>
              <w:rPr>
                <w:rFonts w:ascii="宋体" w:hAnsi="宋体"/>
                <w:sz w:val="18"/>
                <w:szCs w:val="18"/>
              </w:rPr>
            </w:pPr>
            <w:r>
              <w:rPr>
                <w:rFonts w:hint="eastAsia" w:ascii="宋体" w:hAnsi="宋体"/>
                <w:sz w:val="18"/>
                <w:szCs w:val="18"/>
              </w:rPr>
              <w:t>20％～45％</w:t>
            </w:r>
          </w:p>
        </w:tc>
        <w:tc>
          <w:tcPr>
            <w:tcW w:w="323" w:type="pct"/>
            <w:vAlign w:val="center"/>
          </w:tcPr>
          <w:p w14:paraId="7354D446">
            <w:pPr>
              <w:adjustRightInd/>
              <w:spacing w:line="240" w:lineRule="auto"/>
              <w:jc w:val="center"/>
              <w:rPr>
                <w:rFonts w:ascii="宋体" w:hAnsi="宋体"/>
                <w:sz w:val="18"/>
                <w:szCs w:val="18"/>
              </w:rPr>
            </w:pPr>
            <w:r>
              <w:rPr>
                <w:rFonts w:hint="eastAsia" w:ascii="宋体" w:hAnsi="宋体"/>
                <w:sz w:val="18"/>
                <w:szCs w:val="18"/>
              </w:rPr>
              <w:t>6％～29％</w:t>
            </w:r>
          </w:p>
        </w:tc>
        <w:tc>
          <w:tcPr>
            <w:tcW w:w="323" w:type="pct"/>
            <w:vAlign w:val="center"/>
          </w:tcPr>
          <w:p w14:paraId="18608694">
            <w:pPr>
              <w:adjustRightInd/>
              <w:spacing w:line="240" w:lineRule="auto"/>
              <w:jc w:val="center"/>
              <w:rPr>
                <w:rFonts w:ascii="宋体" w:hAnsi="宋体"/>
                <w:sz w:val="18"/>
                <w:szCs w:val="18"/>
              </w:rPr>
            </w:pPr>
            <w:r>
              <w:rPr>
                <w:rFonts w:ascii="宋体" w:hAnsi="宋体"/>
                <w:sz w:val="18"/>
                <w:szCs w:val="18"/>
              </w:rPr>
              <w:t>6</w:t>
            </w:r>
            <w:r>
              <w:rPr>
                <w:rFonts w:hint="eastAsia" w:ascii="宋体" w:hAnsi="宋体"/>
                <w:sz w:val="18"/>
                <w:szCs w:val="18"/>
              </w:rPr>
              <w:t>％～1</w:t>
            </w:r>
            <w:r>
              <w:rPr>
                <w:rFonts w:ascii="宋体" w:hAnsi="宋体"/>
                <w:sz w:val="18"/>
                <w:szCs w:val="18"/>
              </w:rPr>
              <w:t>8</w:t>
            </w:r>
            <w:r>
              <w:rPr>
                <w:rFonts w:hint="eastAsia" w:ascii="宋体" w:hAnsi="宋体"/>
                <w:sz w:val="18"/>
                <w:szCs w:val="18"/>
              </w:rPr>
              <w:t>％</w:t>
            </w:r>
          </w:p>
        </w:tc>
        <w:tc>
          <w:tcPr>
            <w:tcW w:w="323" w:type="pct"/>
            <w:vAlign w:val="center"/>
          </w:tcPr>
          <w:p w14:paraId="4A17AD10">
            <w:pPr>
              <w:adjustRightInd/>
              <w:spacing w:line="240" w:lineRule="auto"/>
              <w:jc w:val="center"/>
              <w:rPr>
                <w:rFonts w:ascii="宋体" w:hAnsi="宋体"/>
                <w:sz w:val="18"/>
                <w:szCs w:val="18"/>
              </w:rPr>
            </w:pPr>
            <w:r>
              <w:rPr>
                <w:rFonts w:hint="eastAsia" w:ascii="宋体" w:hAnsi="宋体"/>
                <w:sz w:val="18"/>
                <w:szCs w:val="18"/>
              </w:rPr>
              <w:t>3％～15％</w:t>
            </w:r>
          </w:p>
        </w:tc>
        <w:tc>
          <w:tcPr>
            <w:tcW w:w="323" w:type="pct"/>
            <w:vAlign w:val="center"/>
          </w:tcPr>
          <w:p w14:paraId="09571BBA">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～10％</w:t>
            </w:r>
          </w:p>
        </w:tc>
        <w:tc>
          <w:tcPr>
            <w:tcW w:w="274" w:type="pct"/>
            <w:vAlign w:val="center"/>
          </w:tcPr>
          <w:p w14:paraId="6DCF6B09">
            <w:pPr>
              <w:adjustRightInd/>
              <w:spacing w:line="240" w:lineRule="auto"/>
              <w:jc w:val="center"/>
              <w:rPr>
                <w:rFonts w:ascii="宋体" w:hAnsi="宋体"/>
                <w:sz w:val="18"/>
                <w:szCs w:val="18"/>
              </w:rPr>
            </w:pPr>
            <w:r>
              <w:rPr>
                <w:rFonts w:hint="eastAsia" w:ascii="宋体" w:hAnsi="宋体"/>
                <w:sz w:val="18"/>
                <w:szCs w:val="18"/>
              </w:rPr>
              <w:t>1％～7％</w:t>
            </w:r>
          </w:p>
        </w:tc>
        <w:tc>
          <w:tcPr>
            <w:tcW w:w="275" w:type="pct"/>
            <w:vAlign w:val="center"/>
          </w:tcPr>
          <w:p w14:paraId="494A2883">
            <w:pPr>
              <w:adjustRightInd/>
              <w:spacing w:line="240" w:lineRule="auto"/>
              <w:jc w:val="center"/>
              <w:rPr>
                <w:rFonts w:ascii="宋体" w:hAnsi="宋体"/>
                <w:sz w:val="18"/>
                <w:szCs w:val="18"/>
              </w:rPr>
            </w:pPr>
            <w:r>
              <w:rPr>
                <w:rFonts w:hint="eastAsia" w:ascii="宋体" w:hAnsi="宋体"/>
                <w:sz w:val="18"/>
                <w:szCs w:val="18"/>
              </w:rPr>
              <w:t>1％～6％</w:t>
            </w:r>
          </w:p>
        </w:tc>
        <w:tc>
          <w:tcPr>
            <w:tcW w:w="275" w:type="pct"/>
            <w:vAlign w:val="center"/>
          </w:tcPr>
          <w:p w14:paraId="3D010753">
            <w:pPr>
              <w:adjustRightInd/>
              <w:spacing w:line="240" w:lineRule="auto"/>
              <w:jc w:val="center"/>
              <w:rPr>
                <w:rFonts w:ascii="宋体" w:hAnsi="宋体"/>
                <w:sz w:val="18"/>
                <w:szCs w:val="18"/>
              </w:rPr>
            </w:pPr>
            <w:r>
              <w:rPr>
                <w:rFonts w:hint="eastAsia" w:ascii="宋体" w:hAnsi="宋体"/>
                <w:sz w:val="18"/>
                <w:szCs w:val="18"/>
              </w:rPr>
              <w:t>1％～4％</w:t>
            </w:r>
          </w:p>
        </w:tc>
      </w:tr>
      <w:tr w14:paraId="0E59E9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cantSplit/>
          <w:trHeight w:val="737" w:hRule="atLeast"/>
          <w:tblHeader/>
          <w:jc w:val="center"/>
        </w:trPr>
        <w:tc>
          <w:tcPr>
            <w:tcW w:w="453" w:type="pct"/>
            <w:vAlign w:val="center"/>
          </w:tcPr>
          <w:p w14:paraId="1687F68F">
            <w:pPr>
              <w:adjustRightInd/>
              <w:spacing w:line="240" w:lineRule="auto"/>
              <w:jc w:val="center"/>
              <w:rPr>
                <w:rFonts w:ascii="宋体" w:hAnsi="宋体"/>
                <w:sz w:val="18"/>
                <w:szCs w:val="18"/>
              </w:rPr>
            </w:pPr>
            <w:r>
              <w:rPr>
                <w:rFonts w:ascii="宋体" w:hAnsi="宋体"/>
                <w:sz w:val="18"/>
                <w:szCs w:val="18"/>
              </w:rPr>
              <w:t>LSPM-30</w:t>
            </w:r>
          </w:p>
        </w:tc>
        <w:tc>
          <w:tcPr>
            <w:tcW w:w="321" w:type="pct"/>
            <w:vAlign w:val="center"/>
          </w:tcPr>
          <w:p w14:paraId="790A875D">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00</w:t>
            </w:r>
            <w:r>
              <w:rPr>
                <w:rFonts w:hint="eastAsia" w:ascii="宋体" w:hAnsi="宋体"/>
                <w:sz w:val="18"/>
                <w:szCs w:val="18"/>
              </w:rPr>
              <w:t>％</w:t>
            </w:r>
          </w:p>
        </w:tc>
        <w:tc>
          <w:tcPr>
            <w:tcW w:w="327" w:type="pct"/>
            <w:vAlign w:val="center"/>
          </w:tcPr>
          <w:p w14:paraId="23F7FC90">
            <w:pPr>
              <w:adjustRightInd/>
              <w:spacing w:line="240" w:lineRule="auto"/>
              <w:jc w:val="center"/>
              <w:rPr>
                <w:rFonts w:ascii="宋体" w:hAnsi="宋体"/>
                <w:sz w:val="18"/>
                <w:szCs w:val="18"/>
              </w:rPr>
            </w:pPr>
            <w:r>
              <w:rPr>
                <w:rFonts w:hint="eastAsia" w:ascii="宋体" w:hAnsi="宋体"/>
                <w:sz w:val="18"/>
                <w:szCs w:val="18"/>
              </w:rPr>
              <w:t>90％～100％</w:t>
            </w:r>
          </w:p>
        </w:tc>
        <w:tc>
          <w:tcPr>
            <w:tcW w:w="352" w:type="pct"/>
            <w:vAlign w:val="center"/>
          </w:tcPr>
          <w:p w14:paraId="7BA0EADD">
            <w:pPr>
              <w:adjustRightInd/>
              <w:spacing w:line="240" w:lineRule="auto"/>
              <w:jc w:val="center"/>
              <w:rPr>
                <w:rFonts w:ascii="宋体" w:hAnsi="宋体"/>
                <w:sz w:val="18"/>
                <w:szCs w:val="18"/>
              </w:rPr>
            </w:pPr>
            <w:r>
              <w:rPr>
                <w:rFonts w:hint="eastAsia" w:ascii="宋体" w:hAnsi="宋体"/>
                <w:sz w:val="18"/>
                <w:szCs w:val="18"/>
              </w:rPr>
              <w:t>70％～95％</w:t>
            </w:r>
          </w:p>
        </w:tc>
        <w:tc>
          <w:tcPr>
            <w:tcW w:w="352" w:type="pct"/>
            <w:vAlign w:val="center"/>
          </w:tcPr>
          <w:p w14:paraId="675F1638">
            <w:pPr>
              <w:adjustRightInd/>
              <w:spacing w:line="240" w:lineRule="auto"/>
              <w:jc w:val="center"/>
              <w:rPr>
                <w:rFonts w:ascii="宋体" w:hAnsi="宋体"/>
                <w:sz w:val="18"/>
                <w:szCs w:val="18"/>
              </w:rPr>
            </w:pPr>
            <w:r>
              <w:rPr>
                <w:rFonts w:hint="eastAsia" w:ascii="宋体" w:hAnsi="宋体"/>
                <w:sz w:val="18"/>
                <w:szCs w:val="18"/>
              </w:rPr>
              <w:t>42％～76％</w:t>
            </w:r>
          </w:p>
        </w:tc>
        <w:tc>
          <w:tcPr>
            <w:tcW w:w="340" w:type="pct"/>
            <w:vAlign w:val="center"/>
          </w:tcPr>
          <w:p w14:paraId="45E45EF3">
            <w:pPr>
              <w:adjustRightInd/>
              <w:spacing w:line="240" w:lineRule="auto"/>
              <w:jc w:val="center"/>
              <w:rPr>
                <w:rFonts w:ascii="宋体" w:hAnsi="宋体"/>
                <w:sz w:val="18"/>
                <w:szCs w:val="18"/>
              </w:rPr>
            </w:pPr>
            <w:r>
              <w:rPr>
                <w:rFonts w:hint="eastAsia" w:ascii="宋体" w:hAnsi="宋体"/>
                <w:sz w:val="18"/>
                <w:szCs w:val="18"/>
              </w:rPr>
              <w:t>33％～66％</w:t>
            </w:r>
          </w:p>
        </w:tc>
        <w:tc>
          <w:tcPr>
            <w:tcW w:w="369" w:type="pct"/>
            <w:vAlign w:val="center"/>
          </w:tcPr>
          <w:p w14:paraId="651B6CBD">
            <w:pPr>
              <w:adjustRightInd/>
              <w:spacing w:line="240" w:lineRule="auto"/>
              <w:jc w:val="center"/>
              <w:rPr>
                <w:rFonts w:ascii="宋体" w:hAnsi="宋体"/>
                <w:sz w:val="18"/>
                <w:szCs w:val="18"/>
              </w:rPr>
            </w:pPr>
            <w:r>
              <w:rPr>
                <w:rFonts w:hint="eastAsia" w:ascii="宋体" w:hAnsi="宋体"/>
                <w:sz w:val="18"/>
                <w:szCs w:val="18"/>
              </w:rPr>
              <w:t>26％～54％</w:t>
            </w:r>
          </w:p>
        </w:tc>
        <w:tc>
          <w:tcPr>
            <w:tcW w:w="370" w:type="pct"/>
            <w:vAlign w:val="center"/>
          </w:tcPr>
          <w:p w14:paraId="68276E0B">
            <w:pPr>
              <w:adjustRightInd/>
              <w:spacing w:line="240" w:lineRule="auto"/>
              <w:jc w:val="center"/>
              <w:rPr>
                <w:rFonts w:ascii="宋体" w:hAnsi="宋体"/>
                <w:sz w:val="18"/>
                <w:szCs w:val="18"/>
              </w:rPr>
            </w:pPr>
            <w:r>
              <w:rPr>
                <w:rFonts w:hint="eastAsia" w:ascii="宋体" w:hAnsi="宋体"/>
                <w:sz w:val="18"/>
                <w:szCs w:val="18"/>
              </w:rPr>
              <w:t>17％～39％</w:t>
            </w:r>
          </w:p>
        </w:tc>
        <w:tc>
          <w:tcPr>
            <w:tcW w:w="323" w:type="pct"/>
            <w:vAlign w:val="center"/>
          </w:tcPr>
          <w:p w14:paraId="4BB57E9A">
            <w:pPr>
              <w:adjustRightInd/>
              <w:spacing w:line="240" w:lineRule="auto"/>
              <w:jc w:val="center"/>
              <w:rPr>
                <w:rFonts w:ascii="宋体" w:hAnsi="宋体"/>
                <w:sz w:val="18"/>
                <w:szCs w:val="18"/>
              </w:rPr>
            </w:pPr>
            <w:r>
              <w:rPr>
                <w:rFonts w:hint="eastAsia" w:ascii="宋体" w:hAnsi="宋体"/>
                <w:sz w:val="18"/>
                <w:szCs w:val="18"/>
              </w:rPr>
              <w:t>6％～27％</w:t>
            </w:r>
          </w:p>
        </w:tc>
        <w:tc>
          <w:tcPr>
            <w:tcW w:w="323" w:type="pct"/>
            <w:vAlign w:val="center"/>
          </w:tcPr>
          <w:p w14:paraId="0CC6B549">
            <w:pPr>
              <w:adjustRightInd/>
              <w:spacing w:line="240" w:lineRule="auto"/>
              <w:jc w:val="center"/>
              <w:rPr>
                <w:rFonts w:ascii="宋体" w:hAnsi="宋体"/>
                <w:sz w:val="18"/>
                <w:szCs w:val="18"/>
              </w:rPr>
            </w:pPr>
            <w:r>
              <w:rPr>
                <w:rFonts w:hint="eastAsia" w:ascii="宋体" w:hAnsi="宋体"/>
                <w:sz w:val="18"/>
                <w:szCs w:val="18"/>
              </w:rPr>
              <w:t>6％～18％</w:t>
            </w:r>
          </w:p>
        </w:tc>
        <w:tc>
          <w:tcPr>
            <w:tcW w:w="323" w:type="pct"/>
            <w:vAlign w:val="center"/>
          </w:tcPr>
          <w:p w14:paraId="3E25751B">
            <w:pPr>
              <w:adjustRightInd/>
              <w:spacing w:line="240" w:lineRule="auto"/>
              <w:jc w:val="center"/>
              <w:rPr>
                <w:rFonts w:ascii="宋体" w:hAnsi="宋体"/>
                <w:sz w:val="18"/>
                <w:szCs w:val="18"/>
              </w:rPr>
            </w:pPr>
            <w:r>
              <w:rPr>
                <w:rFonts w:hint="eastAsia" w:ascii="宋体" w:hAnsi="宋体"/>
                <w:sz w:val="18"/>
                <w:szCs w:val="18"/>
              </w:rPr>
              <w:t>3％～15％</w:t>
            </w:r>
          </w:p>
        </w:tc>
        <w:tc>
          <w:tcPr>
            <w:tcW w:w="323" w:type="pct"/>
            <w:vAlign w:val="center"/>
          </w:tcPr>
          <w:p w14:paraId="3E0A6081">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～10％</w:t>
            </w:r>
          </w:p>
        </w:tc>
        <w:tc>
          <w:tcPr>
            <w:tcW w:w="274" w:type="pct"/>
            <w:vAlign w:val="center"/>
          </w:tcPr>
          <w:p w14:paraId="2F250A95">
            <w:pPr>
              <w:adjustRightInd/>
              <w:spacing w:line="240" w:lineRule="auto"/>
              <w:jc w:val="center"/>
              <w:rPr>
                <w:rFonts w:ascii="宋体" w:hAnsi="宋体"/>
                <w:sz w:val="18"/>
                <w:szCs w:val="18"/>
              </w:rPr>
            </w:pPr>
            <w:r>
              <w:rPr>
                <w:rFonts w:hint="eastAsia" w:ascii="宋体" w:hAnsi="宋体"/>
                <w:sz w:val="18"/>
                <w:szCs w:val="18"/>
              </w:rPr>
              <w:t>1％～7％</w:t>
            </w:r>
          </w:p>
        </w:tc>
        <w:tc>
          <w:tcPr>
            <w:tcW w:w="275" w:type="pct"/>
            <w:vAlign w:val="center"/>
          </w:tcPr>
          <w:p w14:paraId="3B13C82D">
            <w:pPr>
              <w:adjustRightInd/>
              <w:spacing w:line="240" w:lineRule="auto"/>
              <w:jc w:val="center"/>
              <w:rPr>
                <w:rFonts w:ascii="宋体" w:hAnsi="宋体"/>
                <w:sz w:val="18"/>
                <w:szCs w:val="18"/>
              </w:rPr>
            </w:pPr>
            <w:r>
              <w:rPr>
                <w:rFonts w:hint="eastAsia" w:ascii="宋体" w:hAnsi="宋体"/>
                <w:sz w:val="18"/>
                <w:szCs w:val="18"/>
              </w:rPr>
              <w:t>1％～6％</w:t>
            </w:r>
          </w:p>
        </w:tc>
        <w:tc>
          <w:tcPr>
            <w:tcW w:w="275" w:type="pct"/>
            <w:vAlign w:val="center"/>
          </w:tcPr>
          <w:p w14:paraId="00F33C38">
            <w:pPr>
              <w:adjustRightInd/>
              <w:spacing w:line="240" w:lineRule="auto"/>
              <w:jc w:val="center"/>
              <w:rPr>
                <w:rFonts w:ascii="宋体" w:hAnsi="宋体"/>
                <w:sz w:val="18"/>
                <w:szCs w:val="18"/>
              </w:rPr>
            </w:pPr>
            <w:r>
              <w:rPr>
                <w:rFonts w:hint="eastAsia" w:ascii="宋体" w:hAnsi="宋体"/>
                <w:sz w:val="18"/>
                <w:szCs w:val="18"/>
              </w:rPr>
              <w:t>1％～4％</w:t>
            </w:r>
          </w:p>
        </w:tc>
      </w:tr>
    </w:tbl>
    <w:p w14:paraId="2A71765C">
      <w:pPr>
        <w:pStyle w:val="107"/>
        <w:spacing w:before="156" w:after="156"/>
      </w:pPr>
      <w:bookmarkStart w:id="129" w:name="_Toc198816980"/>
      <w:bookmarkStart w:id="130" w:name="_Toc199251476"/>
      <w:bookmarkStart w:id="131" w:name="_Toc195013010"/>
      <w:bookmarkStart w:id="132" w:name="_Toc198802225"/>
      <w:bookmarkStart w:id="133" w:name="_Toc198815897"/>
      <w:bookmarkStart w:id="134" w:name="_Toc169879607"/>
      <w:r>
        <w:rPr>
          <w:rFonts w:hint="eastAsia"/>
        </w:rPr>
        <w:t>混合料技术要求</w:t>
      </w:r>
      <w:bookmarkEnd w:id="129"/>
      <w:bookmarkEnd w:id="130"/>
      <w:bookmarkEnd w:id="131"/>
      <w:bookmarkEnd w:id="132"/>
      <w:bookmarkEnd w:id="133"/>
      <w:bookmarkEnd w:id="134"/>
    </w:p>
    <w:p w14:paraId="5DD66D4A">
      <w:pPr>
        <w:pStyle w:val="167"/>
        <w:ind w:left="0"/>
      </w:pPr>
      <w:r>
        <w:rPr>
          <w:rFonts w:hint="eastAsia"/>
        </w:rPr>
        <w:t>LSPM试件毛体积相对密度的测定宜采用真空密封法，条件不具备时可采用体积法代替。</w:t>
      </w:r>
    </w:p>
    <w:p w14:paraId="062BAB7B">
      <w:pPr>
        <w:pStyle w:val="167"/>
        <w:ind w:left="0"/>
      </w:pPr>
      <w:r>
        <w:rPr>
          <w:rFonts w:hint="eastAsia"/>
        </w:rPr>
        <w:t>LSPM采用大型马歇尔进行配合比设计时，其技术要求应符合表6的规定，当采用其他方法时，应进行大型马歇尔试验验证。</w:t>
      </w:r>
    </w:p>
    <w:p w14:paraId="545E4594">
      <w:pPr>
        <w:pStyle w:val="58"/>
        <w:ind w:firstLine="420"/>
      </w:pPr>
    </w:p>
    <w:p w14:paraId="3FA02BF0">
      <w:pPr>
        <w:pStyle w:val="58"/>
        <w:ind w:firstLine="420"/>
      </w:pPr>
    </w:p>
    <w:p w14:paraId="7EC2629C">
      <w:pPr>
        <w:pStyle w:val="114"/>
        <w:spacing w:before="156" w:after="156"/>
      </w:pPr>
      <w:r>
        <w:rPr>
          <w:rFonts w:hint="eastAsia"/>
        </w:rPr>
        <w:t>LSPM大型马歇尔设计方法技术要求</w:t>
      </w:r>
    </w:p>
    <w:tbl>
      <w:tblPr>
        <w:tblStyle w:val="27"/>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274"/>
        <w:gridCol w:w="1134"/>
        <w:gridCol w:w="2409"/>
        <w:gridCol w:w="2562"/>
      </w:tblGrid>
      <w:tr w14:paraId="54A273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3274" w:type="dxa"/>
            <w:tcBorders>
              <w:top w:val="single" w:color="auto" w:sz="8" w:space="0"/>
              <w:bottom w:val="single" w:color="auto" w:sz="8" w:space="0"/>
            </w:tcBorders>
            <w:vAlign w:val="center"/>
          </w:tcPr>
          <w:p w14:paraId="024E055E">
            <w:pPr>
              <w:adjustRightInd/>
              <w:spacing w:line="240" w:lineRule="auto"/>
              <w:jc w:val="center"/>
              <w:rPr>
                <w:rFonts w:ascii="宋体" w:hAnsi="宋体"/>
                <w:sz w:val="18"/>
                <w:szCs w:val="18"/>
              </w:rPr>
            </w:pPr>
            <w:r>
              <w:rPr>
                <w:rFonts w:ascii="宋体" w:hAnsi="宋体"/>
                <w:sz w:val="18"/>
                <w:szCs w:val="18"/>
              </w:rPr>
              <w:t>试验指标</w:t>
            </w:r>
          </w:p>
        </w:tc>
        <w:tc>
          <w:tcPr>
            <w:tcW w:w="1134" w:type="dxa"/>
            <w:tcBorders>
              <w:top w:val="single" w:color="auto" w:sz="8" w:space="0"/>
              <w:bottom w:val="single" w:color="auto" w:sz="8" w:space="0"/>
            </w:tcBorders>
            <w:vAlign w:val="center"/>
          </w:tcPr>
          <w:p w14:paraId="0630A305">
            <w:pPr>
              <w:adjustRightInd/>
              <w:spacing w:line="240" w:lineRule="auto"/>
              <w:jc w:val="center"/>
              <w:rPr>
                <w:rFonts w:ascii="宋体" w:hAnsi="宋体"/>
                <w:sz w:val="18"/>
                <w:szCs w:val="18"/>
              </w:rPr>
            </w:pPr>
            <w:r>
              <w:rPr>
                <w:rFonts w:ascii="宋体" w:hAnsi="宋体"/>
                <w:sz w:val="18"/>
                <w:szCs w:val="18"/>
              </w:rPr>
              <w:t>单位</w:t>
            </w:r>
          </w:p>
        </w:tc>
        <w:tc>
          <w:tcPr>
            <w:tcW w:w="2409" w:type="dxa"/>
            <w:tcBorders>
              <w:top w:val="single" w:color="auto" w:sz="8" w:space="0"/>
              <w:bottom w:val="single" w:color="auto" w:sz="8" w:space="0"/>
            </w:tcBorders>
            <w:vAlign w:val="center"/>
          </w:tcPr>
          <w:p w14:paraId="12EAAF51">
            <w:pPr>
              <w:adjustRightInd/>
              <w:spacing w:line="240" w:lineRule="auto"/>
              <w:jc w:val="center"/>
              <w:rPr>
                <w:rFonts w:ascii="宋体" w:hAnsi="宋体"/>
                <w:sz w:val="18"/>
                <w:szCs w:val="18"/>
              </w:rPr>
            </w:pPr>
            <w:r>
              <w:rPr>
                <w:rFonts w:hint="eastAsia" w:ascii="宋体" w:hAnsi="宋体"/>
                <w:sz w:val="18"/>
                <w:szCs w:val="18"/>
              </w:rPr>
              <w:t>技术要求</w:t>
            </w:r>
          </w:p>
        </w:tc>
        <w:tc>
          <w:tcPr>
            <w:tcW w:w="2562" w:type="dxa"/>
            <w:tcBorders>
              <w:top w:val="single" w:color="auto" w:sz="8" w:space="0"/>
              <w:bottom w:val="single" w:color="auto" w:sz="8" w:space="0"/>
            </w:tcBorders>
            <w:vAlign w:val="center"/>
          </w:tcPr>
          <w:p w14:paraId="50547F3F">
            <w:pPr>
              <w:adjustRightInd/>
              <w:spacing w:line="240" w:lineRule="auto"/>
              <w:jc w:val="center"/>
              <w:rPr>
                <w:rFonts w:ascii="宋体" w:hAnsi="宋体"/>
                <w:sz w:val="18"/>
                <w:szCs w:val="18"/>
              </w:rPr>
            </w:pPr>
            <w:r>
              <w:rPr>
                <w:rFonts w:hint="eastAsia" w:ascii="宋体" w:hAnsi="宋体"/>
                <w:sz w:val="18"/>
                <w:szCs w:val="18"/>
              </w:rPr>
              <w:t>试验方法</w:t>
            </w:r>
          </w:p>
        </w:tc>
      </w:tr>
      <w:tr w14:paraId="7DDA2A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tcBorders>
              <w:top w:val="single" w:color="auto" w:sz="8" w:space="0"/>
            </w:tcBorders>
            <w:vAlign w:val="center"/>
          </w:tcPr>
          <w:p w14:paraId="773FAFCA">
            <w:pPr>
              <w:spacing w:line="240" w:lineRule="auto"/>
              <w:jc w:val="center"/>
              <w:rPr>
                <w:rFonts w:ascii="宋体" w:hAnsi="宋体"/>
                <w:sz w:val="18"/>
                <w:szCs w:val="18"/>
              </w:rPr>
            </w:pPr>
            <w:r>
              <w:rPr>
                <w:rFonts w:hint="eastAsia" w:ascii="宋体" w:hAnsi="宋体"/>
                <w:sz w:val="18"/>
                <w:szCs w:val="18"/>
              </w:rPr>
              <w:t>公称最大粒径</w:t>
            </w:r>
          </w:p>
        </w:tc>
        <w:tc>
          <w:tcPr>
            <w:tcW w:w="1134" w:type="dxa"/>
            <w:tcBorders>
              <w:top w:val="single" w:color="auto" w:sz="8" w:space="0"/>
            </w:tcBorders>
            <w:vAlign w:val="center"/>
          </w:tcPr>
          <w:p w14:paraId="6147E22D">
            <w:pPr>
              <w:spacing w:line="240" w:lineRule="auto"/>
              <w:jc w:val="center"/>
              <w:rPr>
                <w:rFonts w:ascii="宋体" w:hAnsi="宋体"/>
                <w:sz w:val="18"/>
                <w:szCs w:val="18"/>
              </w:rPr>
            </w:pPr>
            <w:r>
              <w:rPr>
                <w:rFonts w:hint="eastAsia" w:ascii="宋体" w:hAnsi="宋体"/>
                <w:sz w:val="18"/>
                <w:szCs w:val="18"/>
              </w:rPr>
              <w:t>mm</w:t>
            </w:r>
          </w:p>
        </w:tc>
        <w:tc>
          <w:tcPr>
            <w:tcW w:w="2409" w:type="dxa"/>
            <w:tcBorders>
              <w:top w:val="single" w:color="auto" w:sz="8" w:space="0"/>
            </w:tcBorders>
            <w:vAlign w:val="center"/>
          </w:tcPr>
          <w:p w14:paraId="1DBCB3B0">
            <w:pPr>
              <w:spacing w:line="240" w:lineRule="auto"/>
              <w:jc w:val="center"/>
              <w:rPr>
                <w:rFonts w:ascii="宋体" w:hAnsi="宋体"/>
                <w:sz w:val="18"/>
                <w:szCs w:val="18"/>
              </w:rPr>
            </w:pPr>
            <w:r>
              <w:rPr>
                <w:rFonts w:hint="eastAsia" w:ascii="宋体" w:hAnsi="宋体"/>
                <w:sz w:val="18"/>
                <w:szCs w:val="18"/>
              </w:rPr>
              <w:t>≥19</w:t>
            </w:r>
          </w:p>
        </w:tc>
        <w:tc>
          <w:tcPr>
            <w:tcW w:w="2562" w:type="dxa"/>
            <w:tcBorders>
              <w:top w:val="single" w:color="auto" w:sz="8" w:space="0"/>
            </w:tcBorders>
            <w:vAlign w:val="center"/>
          </w:tcPr>
          <w:p w14:paraId="6B462A85">
            <w:pPr>
              <w:spacing w:line="240" w:lineRule="auto"/>
              <w:jc w:val="center"/>
              <w:rPr>
                <w:rFonts w:ascii="宋体" w:hAnsi="宋体"/>
                <w:sz w:val="18"/>
                <w:szCs w:val="18"/>
              </w:rPr>
            </w:pPr>
            <w:r>
              <w:rPr>
                <w:rFonts w:hint="eastAsia" w:ascii="宋体" w:hAnsi="宋体"/>
                <w:sz w:val="18"/>
                <w:szCs w:val="18"/>
              </w:rPr>
              <w:t>—</w:t>
            </w:r>
          </w:p>
        </w:tc>
      </w:tr>
      <w:tr w14:paraId="348E4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vAlign w:val="center"/>
          </w:tcPr>
          <w:p w14:paraId="35987AAB">
            <w:pPr>
              <w:spacing w:line="240" w:lineRule="auto"/>
              <w:jc w:val="center"/>
              <w:rPr>
                <w:rFonts w:ascii="宋体" w:hAnsi="宋体"/>
                <w:sz w:val="18"/>
                <w:szCs w:val="18"/>
              </w:rPr>
            </w:pPr>
            <w:r>
              <w:rPr>
                <w:rFonts w:ascii="宋体" w:hAnsi="宋体"/>
                <w:sz w:val="18"/>
                <w:szCs w:val="18"/>
              </w:rPr>
              <w:t>击实次数</w:t>
            </w:r>
            <w:r>
              <w:rPr>
                <w:rFonts w:hint="eastAsia" w:ascii="宋体" w:hAnsi="宋体"/>
                <w:sz w:val="18"/>
                <w:szCs w:val="18"/>
              </w:rPr>
              <w:t>（双面）</w:t>
            </w:r>
          </w:p>
        </w:tc>
        <w:tc>
          <w:tcPr>
            <w:tcW w:w="1134" w:type="dxa"/>
            <w:vAlign w:val="center"/>
          </w:tcPr>
          <w:p w14:paraId="35A6CB36">
            <w:pPr>
              <w:spacing w:line="240" w:lineRule="auto"/>
              <w:jc w:val="center"/>
              <w:rPr>
                <w:rFonts w:ascii="宋体" w:hAnsi="宋体"/>
                <w:sz w:val="18"/>
                <w:szCs w:val="18"/>
              </w:rPr>
            </w:pPr>
            <w:r>
              <w:rPr>
                <w:rFonts w:ascii="宋体" w:hAnsi="宋体"/>
                <w:sz w:val="18"/>
                <w:szCs w:val="18"/>
              </w:rPr>
              <w:t>次</w:t>
            </w:r>
          </w:p>
        </w:tc>
        <w:tc>
          <w:tcPr>
            <w:tcW w:w="2409" w:type="dxa"/>
            <w:vAlign w:val="center"/>
          </w:tcPr>
          <w:p w14:paraId="5ACEAF55">
            <w:pPr>
              <w:spacing w:line="240" w:lineRule="auto"/>
              <w:jc w:val="center"/>
              <w:rPr>
                <w:rFonts w:ascii="宋体" w:hAnsi="宋体"/>
                <w:sz w:val="18"/>
                <w:szCs w:val="18"/>
              </w:rPr>
            </w:pPr>
            <w:r>
              <w:rPr>
                <w:rFonts w:hint="eastAsia" w:ascii="宋体" w:hAnsi="宋体"/>
                <w:sz w:val="18"/>
                <w:szCs w:val="18"/>
              </w:rPr>
              <w:t>112</w:t>
            </w:r>
          </w:p>
        </w:tc>
        <w:tc>
          <w:tcPr>
            <w:tcW w:w="2562" w:type="dxa"/>
            <w:vMerge w:val="restart"/>
            <w:vAlign w:val="center"/>
          </w:tcPr>
          <w:p w14:paraId="46292C1E">
            <w:pPr>
              <w:spacing w:line="240" w:lineRule="auto"/>
              <w:jc w:val="center"/>
              <w:rPr>
                <w:rFonts w:ascii="宋体" w:hAnsi="宋体"/>
                <w:sz w:val="18"/>
                <w:szCs w:val="18"/>
              </w:rPr>
            </w:pPr>
            <w:r>
              <w:rPr>
                <w:rFonts w:hint="eastAsia" w:ascii="宋体" w:hAnsi="宋体"/>
                <w:sz w:val="18"/>
                <w:szCs w:val="18"/>
              </w:rPr>
              <w:t>JTG E20—2011</w:t>
            </w:r>
            <w:r>
              <w:rPr>
                <w:rFonts w:ascii="宋体" w:hAnsi="宋体"/>
                <w:sz w:val="18"/>
                <w:szCs w:val="18"/>
              </w:rPr>
              <w:t xml:space="preserve"> </w:t>
            </w:r>
            <w:r>
              <w:rPr>
                <w:rFonts w:hint="eastAsia" w:ascii="宋体" w:hAnsi="宋体"/>
                <w:sz w:val="18"/>
                <w:szCs w:val="18"/>
              </w:rPr>
              <w:t>T</w:t>
            </w:r>
            <w:r>
              <w:rPr>
                <w:rFonts w:ascii="宋体" w:hAnsi="宋体"/>
                <w:sz w:val="18"/>
                <w:szCs w:val="18"/>
              </w:rPr>
              <w:t>0702</w:t>
            </w:r>
          </w:p>
        </w:tc>
      </w:tr>
      <w:tr w14:paraId="26EDA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vAlign w:val="center"/>
          </w:tcPr>
          <w:p w14:paraId="510862D8">
            <w:pPr>
              <w:spacing w:line="240" w:lineRule="auto"/>
              <w:jc w:val="center"/>
              <w:rPr>
                <w:rFonts w:ascii="宋体" w:hAnsi="宋体"/>
                <w:sz w:val="18"/>
                <w:szCs w:val="18"/>
              </w:rPr>
            </w:pPr>
            <w:r>
              <w:rPr>
                <w:rFonts w:ascii="宋体" w:hAnsi="宋体"/>
                <w:sz w:val="18"/>
                <w:szCs w:val="18"/>
              </w:rPr>
              <w:t>试件尺寸</w:t>
            </w:r>
          </w:p>
        </w:tc>
        <w:tc>
          <w:tcPr>
            <w:tcW w:w="1134" w:type="dxa"/>
            <w:vAlign w:val="center"/>
          </w:tcPr>
          <w:p w14:paraId="49C4D2AF">
            <w:pPr>
              <w:spacing w:line="240" w:lineRule="auto"/>
              <w:jc w:val="center"/>
              <w:rPr>
                <w:rFonts w:ascii="宋体" w:hAnsi="宋体"/>
                <w:sz w:val="18"/>
                <w:szCs w:val="18"/>
              </w:rPr>
            </w:pPr>
            <w:r>
              <w:rPr>
                <w:rFonts w:ascii="宋体" w:hAnsi="宋体"/>
                <w:sz w:val="18"/>
                <w:szCs w:val="18"/>
              </w:rPr>
              <w:t>mm</w:t>
            </w:r>
          </w:p>
        </w:tc>
        <w:tc>
          <w:tcPr>
            <w:tcW w:w="2409" w:type="dxa"/>
            <w:vAlign w:val="center"/>
          </w:tcPr>
          <w:p w14:paraId="1ED351BA">
            <w:pPr>
              <w:spacing w:line="240" w:lineRule="auto"/>
              <w:jc w:val="center"/>
              <w:rPr>
                <w:rFonts w:ascii="宋体" w:hAnsi="宋体"/>
                <w:sz w:val="18"/>
                <w:szCs w:val="18"/>
              </w:rPr>
            </w:pPr>
            <w:r>
              <w:rPr>
                <w:rFonts w:ascii="宋体" w:hAnsi="宋体"/>
                <w:sz w:val="18"/>
                <w:szCs w:val="18"/>
              </w:rPr>
              <w:t>Φ</w:t>
            </w:r>
            <w:r>
              <w:rPr>
                <w:rFonts w:hint="eastAsia" w:ascii="宋体" w:hAnsi="宋体"/>
                <w:sz w:val="18"/>
                <w:szCs w:val="18"/>
              </w:rPr>
              <w:t>152.4</w:t>
            </w:r>
            <w:r>
              <w:rPr>
                <w:rFonts w:ascii="宋体" w:hAnsi="宋体"/>
                <w:sz w:val="18"/>
                <w:szCs w:val="18"/>
              </w:rPr>
              <w:t>×</w:t>
            </w:r>
            <w:r>
              <w:rPr>
                <w:rFonts w:hint="eastAsia" w:ascii="宋体" w:hAnsi="宋体"/>
                <w:sz w:val="18"/>
                <w:szCs w:val="18"/>
              </w:rPr>
              <w:t>95.3</w:t>
            </w:r>
          </w:p>
        </w:tc>
        <w:tc>
          <w:tcPr>
            <w:tcW w:w="2562" w:type="dxa"/>
            <w:vMerge w:val="continue"/>
            <w:vAlign w:val="center"/>
          </w:tcPr>
          <w:p w14:paraId="2BF3115B">
            <w:pPr>
              <w:spacing w:line="240" w:lineRule="auto"/>
              <w:jc w:val="center"/>
              <w:rPr>
                <w:rFonts w:ascii="宋体" w:hAnsi="宋体"/>
                <w:sz w:val="18"/>
                <w:szCs w:val="18"/>
              </w:rPr>
            </w:pPr>
          </w:p>
        </w:tc>
      </w:tr>
      <w:tr w14:paraId="0C8D2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vMerge w:val="restart"/>
            <w:vAlign w:val="center"/>
          </w:tcPr>
          <w:p w14:paraId="0525FF0B">
            <w:pPr>
              <w:spacing w:line="240" w:lineRule="auto"/>
              <w:jc w:val="center"/>
              <w:rPr>
                <w:rFonts w:ascii="宋体" w:hAnsi="宋体"/>
                <w:sz w:val="18"/>
                <w:szCs w:val="18"/>
              </w:rPr>
            </w:pPr>
            <w:r>
              <w:rPr>
                <w:rFonts w:ascii="宋体" w:hAnsi="宋体"/>
                <w:sz w:val="18"/>
                <w:szCs w:val="18"/>
              </w:rPr>
              <w:t>空隙率</w:t>
            </w:r>
          </w:p>
        </w:tc>
        <w:tc>
          <w:tcPr>
            <w:tcW w:w="1134" w:type="dxa"/>
            <w:vMerge w:val="restart"/>
            <w:vAlign w:val="center"/>
          </w:tcPr>
          <w:p w14:paraId="1DB5FAAD">
            <w:pPr>
              <w:spacing w:line="240" w:lineRule="auto"/>
              <w:jc w:val="center"/>
              <w:rPr>
                <w:rFonts w:ascii="宋体" w:hAnsi="宋体"/>
                <w:sz w:val="18"/>
                <w:szCs w:val="18"/>
              </w:rPr>
            </w:pPr>
            <w:r>
              <w:rPr>
                <w:rFonts w:hint="eastAsia" w:ascii="宋体" w:hAnsi="宋体"/>
                <w:sz w:val="18"/>
                <w:szCs w:val="18"/>
              </w:rPr>
              <w:t>—</w:t>
            </w:r>
          </w:p>
        </w:tc>
        <w:tc>
          <w:tcPr>
            <w:tcW w:w="2409" w:type="dxa"/>
            <w:vAlign w:val="center"/>
          </w:tcPr>
          <w:p w14:paraId="695E82BB">
            <w:pPr>
              <w:spacing w:line="240" w:lineRule="auto"/>
              <w:jc w:val="center"/>
              <w:rPr>
                <w:rFonts w:ascii="宋体" w:hAnsi="宋体"/>
                <w:sz w:val="18"/>
                <w:szCs w:val="18"/>
              </w:rPr>
            </w:pPr>
            <w:r>
              <w:rPr>
                <w:rFonts w:hint="eastAsia" w:ascii="宋体" w:hAnsi="宋体"/>
                <w:sz w:val="18"/>
                <w:szCs w:val="18"/>
              </w:rPr>
              <w:t>13％</w:t>
            </w:r>
            <w:r>
              <w:rPr>
                <w:rFonts w:ascii="宋体" w:hAnsi="宋体"/>
                <w:sz w:val="18"/>
                <w:szCs w:val="18"/>
              </w:rPr>
              <w:t>～</w:t>
            </w:r>
            <w:r>
              <w:rPr>
                <w:rFonts w:hint="eastAsia" w:ascii="宋体" w:hAnsi="宋体"/>
                <w:sz w:val="18"/>
                <w:szCs w:val="18"/>
              </w:rPr>
              <w:t>18％</w:t>
            </w:r>
          </w:p>
        </w:tc>
        <w:tc>
          <w:tcPr>
            <w:tcW w:w="2562" w:type="dxa"/>
            <w:vAlign w:val="center"/>
          </w:tcPr>
          <w:p w14:paraId="69CA2F80">
            <w:pPr>
              <w:spacing w:line="240" w:lineRule="auto"/>
              <w:jc w:val="center"/>
              <w:rPr>
                <w:rFonts w:ascii="宋体" w:hAnsi="宋体"/>
                <w:sz w:val="18"/>
                <w:szCs w:val="18"/>
                <w:lang w:val="de-DE"/>
              </w:rPr>
            </w:pPr>
            <w:r>
              <w:rPr>
                <w:rFonts w:hint="eastAsia" w:ascii="宋体" w:hAnsi="宋体"/>
                <w:sz w:val="18"/>
                <w:szCs w:val="18"/>
              </w:rPr>
              <w:t>JTG/T 3350—03—2020 附录B</w:t>
            </w:r>
          </w:p>
        </w:tc>
      </w:tr>
      <w:tr w14:paraId="4EE01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vMerge w:val="continue"/>
            <w:vAlign w:val="center"/>
          </w:tcPr>
          <w:p w14:paraId="1F07EBA1">
            <w:pPr>
              <w:spacing w:line="240" w:lineRule="auto"/>
              <w:jc w:val="center"/>
              <w:rPr>
                <w:rFonts w:ascii="宋体" w:hAnsi="宋体"/>
                <w:sz w:val="18"/>
                <w:szCs w:val="18"/>
              </w:rPr>
            </w:pPr>
          </w:p>
        </w:tc>
        <w:tc>
          <w:tcPr>
            <w:tcW w:w="1134" w:type="dxa"/>
            <w:vMerge w:val="continue"/>
            <w:vAlign w:val="center"/>
          </w:tcPr>
          <w:p w14:paraId="0DE74746">
            <w:pPr>
              <w:spacing w:line="240" w:lineRule="auto"/>
              <w:jc w:val="center"/>
              <w:rPr>
                <w:rFonts w:ascii="宋体" w:hAnsi="宋体"/>
                <w:sz w:val="18"/>
                <w:szCs w:val="18"/>
              </w:rPr>
            </w:pPr>
          </w:p>
        </w:tc>
        <w:tc>
          <w:tcPr>
            <w:tcW w:w="2409" w:type="dxa"/>
            <w:vAlign w:val="center"/>
          </w:tcPr>
          <w:p w14:paraId="7CA5FC5A">
            <w:pPr>
              <w:spacing w:line="240" w:lineRule="auto"/>
              <w:jc w:val="center"/>
              <w:rPr>
                <w:rFonts w:ascii="宋体" w:hAnsi="宋体"/>
                <w:sz w:val="18"/>
                <w:szCs w:val="18"/>
              </w:rPr>
            </w:pPr>
            <w:r>
              <w:rPr>
                <w:rFonts w:hint="eastAsia" w:ascii="宋体" w:hAnsi="宋体"/>
                <w:sz w:val="18"/>
                <w:szCs w:val="18"/>
              </w:rPr>
              <w:t>15％</w:t>
            </w:r>
            <w:r>
              <w:rPr>
                <w:rFonts w:ascii="宋体" w:hAnsi="宋体"/>
                <w:sz w:val="18"/>
                <w:szCs w:val="18"/>
              </w:rPr>
              <w:t>～</w:t>
            </w:r>
            <w:r>
              <w:rPr>
                <w:rFonts w:hint="eastAsia" w:ascii="宋体" w:hAnsi="宋体"/>
                <w:sz w:val="18"/>
                <w:szCs w:val="18"/>
              </w:rPr>
              <w:t>20％</w:t>
            </w:r>
          </w:p>
        </w:tc>
        <w:tc>
          <w:tcPr>
            <w:tcW w:w="2562" w:type="dxa"/>
            <w:vAlign w:val="center"/>
          </w:tcPr>
          <w:p w14:paraId="06CF042E">
            <w:pPr>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w:t>
            </w:r>
            <w:r>
              <w:rPr>
                <w:rFonts w:ascii="宋体" w:hAnsi="宋体"/>
                <w:sz w:val="18"/>
                <w:szCs w:val="18"/>
              </w:rPr>
              <w:t>2011 T0708</w:t>
            </w:r>
          </w:p>
        </w:tc>
      </w:tr>
      <w:tr w14:paraId="2AA87D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vAlign w:val="center"/>
          </w:tcPr>
          <w:p w14:paraId="063A485A">
            <w:pPr>
              <w:spacing w:line="240" w:lineRule="auto"/>
              <w:jc w:val="center"/>
              <w:rPr>
                <w:rFonts w:ascii="宋体" w:hAnsi="宋体"/>
                <w:sz w:val="18"/>
                <w:szCs w:val="18"/>
              </w:rPr>
            </w:pPr>
            <w:r>
              <w:rPr>
                <w:rFonts w:hint="eastAsia" w:ascii="宋体" w:hAnsi="宋体"/>
                <w:sz w:val="18"/>
                <w:szCs w:val="18"/>
              </w:rPr>
              <w:t>有效沥青膜厚度</w:t>
            </w:r>
          </w:p>
        </w:tc>
        <w:tc>
          <w:tcPr>
            <w:tcW w:w="1134" w:type="dxa"/>
            <w:vAlign w:val="center"/>
          </w:tcPr>
          <w:p w14:paraId="04F65B52">
            <w:pPr>
              <w:spacing w:line="240" w:lineRule="auto"/>
              <w:jc w:val="center"/>
              <w:rPr>
                <w:rFonts w:ascii="宋体" w:hAnsi="宋体"/>
                <w:sz w:val="18"/>
                <w:szCs w:val="18"/>
              </w:rPr>
            </w:pPr>
            <w:r>
              <w:rPr>
                <w:rFonts w:hint="eastAsia" w:ascii="宋体" w:hAnsi="宋体"/>
                <w:sz w:val="18"/>
                <w:szCs w:val="18"/>
              </w:rPr>
              <w:t>μ</w:t>
            </w:r>
            <w:r>
              <w:rPr>
                <w:rFonts w:ascii="宋体" w:hAnsi="宋体"/>
                <w:sz w:val="18"/>
                <w:szCs w:val="18"/>
              </w:rPr>
              <w:t>m</w:t>
            </w:r>
          </w:p>
        </w:tc>
        <w:tc>
          <w:tcPr>
            <w:tcW w:w="2409" w:type="dxa"/>
            <w:vAlign w:val="center"/>
          </w:tcPr>
          <w:p w14:paraId="7A1A1C39">
            <w:pPr>
              <w:spacing w:line="240" w:lineRule="auto"/>
              <w:jc w:val="center"/>
              <w:rPr>
                <w:rFonts w:ascii="宋体" w:hAnsi="宋体"/>
                <w:sz w:val="18"/>
                <w:szCs w:val="18"/>
              </w:rPr>
            </w:pPr>
            <w:r>
              <w:rPr>
                <w:rFonts w:hint="eastAsia" w:ascii="宋体" w:hAnsi="宋体"/>
                <w:sz w:val="18"/>
                <w:szCs w:val="18"/>
              </w:rPr>
              <w:t>≥12</w:t>
            </w:r>
          </w:p>
        </w:tc>
        <w:tc>
          <w:tcPr>
            <w:tcW w:w="2562" w:type="dxa"/>
            <w:vAlign w:val="center"/>
          </w:tcPr>
          <w:p w14:paraId="56B9A2D4">
            <w:pPr>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w:t>
            </w:r>
            <w:r>
              <w:rPr>
                <w:rFonts w:ascii="宋体" w:hAnsi="宋体"/>
                <w:sz w:val="18"/>
                <w:szCs w:val="18"/>
              </w:rPr>
              <w:t>2011 T070</w:t>
            </w:r>
            <w:r>
              <w:rPr>
                <w:rFonts w:hint="eastAsia" w:ascii="宋体" w:hAnsi="宋体"/>
                <w:sz w:val="18"/>
                <w:szCs w:val="18"/>
              </w:rPr>
              <w:t>5</w:t>
            </w:r>
          </w:p>
        </w:tc>
      </w:tr>
      <w:tr w14:paraId="2A4D4E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tcPr>
          <w:p w14:paraId="1CD233FE">
            <w:pPr>
              <w:spacing w:line="240" w:lineRule="auto"/>
              <w:jc w:val="center"/>
              <w:rPr>
                <w:rFonts w:ascii="宋体" w:hAnsi="宋体"/>
                <w:sz w:val="18"/>
                <w:szCs w:val="18"/>
              </w:rPr>
            </w:pPr>
            <w:r>
              <w:rPr>
                <w:rFonts w:hint="eastAsia" w:ascii="宋体" w:hAnsi="宋体"/>
                <w:sz w:val="18"/>
                <w:szCs w:val="18"/>
              </w:rPr>
              <w:t>沥青析漏损失</w:t>
            </w:r>
            <w:r>
              <w:rPr>
                <w:rFonts w:hint="eastAsia" w:ascii="宋体" w:hAnsi="宋体"/>
                <w:sz w:val="18"/>
                <w:szCs w:val="18"/>
                <w:vertAlign w:val="superscript"/>
              </w:rPr>
              <w:t>a</w:t>
            </w:r>
          </w:p>
        </w:tc>
        <w:tc>
          <w:tcPr>
            <w:tcW w:w="1134" w:type="dxa"/>
            <w:vAlign w:val="center"/>
          </w:tcPr>
          <w:p w14:paraId="472149B3">
            <w:pPr>
              <w:spacing w:line="240" w:lineRule="auto"/>
              <w:jc w:val="center"/>
              <w:rPr>
                <w:rFonts w:ascii="宋体" w:hAnsi="宋体"/>
                <w:sz w:val="18"/>
                <w:szCs w:val="18"/>
              </w:rPr>
            </w:pPr>
            <w:r>
              <w:rPr>
                <w:rFonts w:hint="eastAsia" w:ascii="宋体" w:hAnsi="宋体"/>
                <w:sz w:val="18"/>
                <w:szCs w:val="18"/>
              </w:rPr>
              <w:t>—</w:t>
            </w:r>
          </w:p>
        </w:tc>
        <w:tc>
          <w:tcPr>
            <w:tcW w:w="2409" w:type="dxa"/>
          </w:tcPr>
          <w:p w14:paraId="63153B3B">
            <w:pPr>
              <w:spacing w:line="240" w:lineRule="auto"/>
              <w:jc w:val="center"/>
              <w:rPr>
                <w:rFonts w:ascii="宋体" w:hAnsi="宋体"/>
                <w:sz w:val="18"/>
                <w:szCs w:val="18"/>
              </w:rPr>
            </w:pPr>
            <w:r>
              <w:rPr>
                <w:rFonts w:hint="eastAsia" w:ascii="宋体" w:hAnsi="宋体"/>
                <w:sz w:val="18"/>
                <w:szCs w:val="18"/>
              </w:rPr>
              <w:t>≤0.2</w:t>
            </w:r>
          </w:p>
        </w:tc>
        <w:tc>
          <w:tcPr>
            <w:tcW w:w="2562" w:type="dxa"/>
          </w:tcPr>
          <w:p w14:paraId="408E3328">
            <w:pPr>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w:t>
            </w:r>
            <w:r>
              <w:rPr>
                <w:rFonts w:ascii="宋体" w:hAnsi="宋体"/>
                <w:sz w:val="18"/>
                <w:szCs w:val="18"/>
              </w:rPr>
              <w:t>2011 T0732</w:t>
            </w:r>
          </w:p>
        </w:tc>
      </w:tr>
      <w:tr w14:paraId="28B83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tcPr>
          <w:p w14:paraId="72C9CE47">
            <w:pPr>
              <w:spacing w:line="240" w:lineRule="auto"/>
              <w:jc w:val="center"/>
              <w:rPr>
                <w:rFonts w:ascii="宋体" w:hAnsi="宋体"/>
                <w:sz w:val="18"/>
                <w:szCs w:val="18"/>
              </w:rPr>
            </w:pPr>
            <w:r>
              <w:rPr>
                <w:rFonts w:hint="eastAsia" w:ascii="宋体" w:hAnsi="宋体"/>
                <w:sz w:val="18"/>
                <w:szCs w:val="18"/>
              </w:rPr>
              <w:t>混合料飞散损失</w:t>
            </w:r>
          </w:p>
        </w:tc>
        <w:tc>
          <w:tcPr>
            <w:tcW w:w="1134" w:type="dxa"/>
            <w:vAlign w:val="center"/>
          </w:tcPr>
          <w:p w14:paraId="42FB8011">
            <w:pPr>
              <w:spacing w:line="240" w:lineRule="auto"/>
              <w:jc w:val="center"/>
              <w:rPr>
                <w:rFonts w:ascii="宋体" w:hAnsi="宋体"/>
                <w:sz w:val="18"/>
                <w:szCs w:val="18"/>
              </w:rPr>
            </w:pPr>
            <w:r>
              <w:rPr>
                <w:rFonts w:hint="eastAsia" w:ascii="宋体" w:hAnsi="宋体"/>
                <w:sz w:val="18"/>
                <w:szCs w:val="18"/>
              </w:rPr>
              <w:t>—</w:t>
            </w:r>
          </w:p>
        </w:tc>
        <w:tc>
          <w:tcPr>
            <w:tcW w:w="2409" w:type="dxa"/>
          </w:tcPr>
          <w:p w14:paraId="456CD2D5">
            <w:pPr>
              <w:spacing w:line="240" w:lineRule="auto"/>
              <w:jc w:val="center"/>
              <w:rPr>
                <w:rFonts w:ascii="宋体" w:hAnsi="宋体"/>
                <w:sz w:val="18"/>
                <w:szCs w:val="18"/>
              </w:rPr>
            </w:pPr>
            <w:r>
              <w:rPr>
                <w:rFonts w:hint="eastAsia" w:ascii="宋体" w:hAnsi="宋体"/>
                <w:sz w:val="18"/>
                <w:szCs w:val="18"/>
              </w:rPr>
              <w:t>≤20</w:t>
            </w:r>
          </w:p>
        </w:tc>
        <w:tc>
          <w:tcPr>
            <w:tcW w:w="2562" w:type="dxa"/>
          </w:tcPr>
          <w:p w14:paraId="7AE11A3B">
            <w:pPr>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w:t>
            </w:r>
            <w:r>
              <w:rPr>
                <w:rFonts w:ascii="宋体" w:hAnsi="宋体"/>
                <w:sz w:val="18"/>
                <w:szCs w:val="18"/>
              </w:rPr>
              <w:t>2011 T0733</w:t>
            </w:r>
          </w:p>
        </w:tc>
      </w:tr>
      <w:tr w14:paraId="43CE3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274" w:type="dxa"/>
            <w:tcBorders>
              <w:bottom w:val="single" w:color="auto" w:sz="8" w:space="0"/>
            </w:tcBorders>
          </w:tcPr>
          <w:p w14:paraId="3DFCA5D8">
            <w:pPr>
              <w:spacing w:line="240" w:lineRule="auto"/>
              <w:jc w:val="center"/>
              <w:rPr>
                <w:rFonts w:ascii="宋体" w:hAnsi="宋体"/>
                <w:sz w:val="18"/>
                <w:szCs w:val="18"/>
              </w:rPr>
            </w:pPr>
            <w:r>
              <w:rPr>
                <w:rFonts w:hint="eastAsia" w:ascii="宋体" w:hAnsi="宋体"/>
                <w:sz w:val="18"/>
                <w:szCs w:val="18"/>
              </w:rPr>
              <w:t>参考沥青用量</w:t>
            </w:r>
          </w:p>
        </w:tc>
        <w:tc>
          <w:tcPr>
            <w:tcW w:w="1134" w:type="dxa"/>
            <w:tcBorders>
              <w:bottom w:val="single" w:color="auto" w:sz="8" w:space="0"/>
            </w:tcBorders>
            <w:vAlign w:val="center"/>
          </w:tcPr>
          <w:p w14:paraId="20733560">
            <w:pPr>
              <w:spacing w:line="240" w:lineRule="auto"/>
              <w:jc w:val="center"/>
              <w:rPr>
                <w:rFonts w:ascii="宋体" w:hAnsi="宋体"/>
                <w:sz w:val="18"/>
                <w:szCs w:val="18"/>
              </w:rPr>
            </w:pPr>
            <w:r>
              <w:rPr>
                <w:rFonts w:hint="eastAsia" w:ascii="宋体" w:hAnsi="宋体"/>
                <w:sz w:val="18"/>
                <w:szCs w:val="18"/>
              </w:rPr>
              <w:t>—</w:t>
            </w:r>
          </w:p>
        </w:tc>
        <w:tc>
          <w:tcPr>
            <w:tcW w:w="2409" w:type="dxa"/>
            <w:tcBorders>
              <w:bottom w:val="single" w:color="auto" w:sz="8" w:space="0"/>
            </w:tcBorders>
          </w:tcPr>
          <w:p w14:paraId="7ED3588C">
            <w:pPr>
              <w:spacing w:line="240" w:lineRule="auto"/>
              <w:jc w:val="center"/>
              <w:rPr>
                <w:rFonts w:ascii="宋体" w:hAnsi="宋体"/>
                <w:sz w:val="18"/>
                <w:szCs w:val="18"/>
              </w:rPr>
            </w:pPr>
            <w:r>
              <w:rPr>
                <w:rFonts w:ascii="宋体" w:hAnsi="宋体"/>
                <w:sz w:val="18"/>
                <w:szCs w:val="18"/>
              </w:rPr>
              <w:t>3.0～3.5</w:t>
            </w:r>
          </w:p>
        </w:tc>
        <w:tc>
          <w:tcPr>
            <w:tcW w:w="2562" w:type="dxa"/>
            <w:tcBorders>
              <w:bottom w:val="single" w:color="auto" w:sz="8" w:space="0"/>
            </w:tcBorders>
            <w:vAlign w:val="center"/>
          </w:tcPr>
          <w:p w14:paraId="0CF8E74D">
            <w:pPr>
              <w:spacing w:line="240" w:lineRule="auto"/>
              <w:jc w:val="center"/>
              <w:rPr>
                <w:rFonts w:ascii="宋体" w:hAnsi="宋体"/>
                <w:sz w:val="18"/>
                <w:szCs w:val="18"/>
              </w:rPr>
            </w:pPr>
            <w:r>
              <w:rPr>
                <w:rFonts w:hint="eastAsia" w:ascii="宋体" w:hAnsi="宋体"/>
                <w:sz w:val="18"/>
                <w:szCs w:val="18"/>
              </w:rPr>
              <w:t>—</w:t>
            </w:r>
          </w:p>
        </w:tc>
      </w:tr>
      <w:tr w14:paraId="01DE1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379" w:type="dxa"/>
            <w:gridSpan w:val="4"/>
            <w:tcBorders>
              <w:top w:val="single" w:color="auto" w:sz="8" w:space="0"/>
              <w:bottom w:val="single" w:color="auto" w:sz="8" w:space="0"/>
            </w:tcBorders>
            <w:vAlign w:val="center"/>
          </w:tcPr>
          <w:p w14:paraId="58850358">
            <w:pPr>
              <w:widowControl/>
              <w:tabs>
                <w:tab w:val="left" w:pos="1034"/>
                <w:tab w:val="center" w:pos="4201"/>
                <w:tab w:val="right" w:leader="dot" w:pos="9298"/>
              </w:tabs>
              <w:autoSpaceDE w:val="0"/>
              <w:autoSpaceDN w:val="0"/>
              <w:adjustRightInd/>
              <w:spacing w:line="240" w:lineRule="auto"/>
              <w:ind w:firstLine="360" w:firstLineChars="200"/>
              <w:rPr>
                <w:rFonts w:ascii="宋体" w:hAnsi="宋体"/>
                <w:sz w:val="18"/>
                <w:szCs w:val="18"/>
              </w:rPr>
            </w:pPr>
            <w:r>
              <w:rPr>
                <w:rFonts w:hint="eastAsia" w:ascii="宋体" w:hAnsi="宋体"/>
                <w:kern w:val="0"/>
                <w:sz w:val="18"/>
                <w:szCs w:val="18"/>
                <w:vertAlign w:val="superscript"/>
              </w:rPr>
              <w:t>a</w:t>
            </w:r>
            <w:r>
              <w:rPr>
                <w:rFonts w:ascii="宋体" w:hAnsi="宋体"/>
                <w:kern w:val="0"/>
                <w:sz w:val="18"/>
                <w:szCs w:val="18"/>
                <w:vertAlign w:val="superscript"/>
              </w:rPr>
              <w:t xml:space="preserve"> </w:t>
            </w:r>
            <w:r>
              <w:rPr>
                <w:rFonts w:hint="eastAsia" w:ascii="宋体" w:hAnsi="宋体"/>
                <w:kern w:val="0"/>
                <w:sz w:val="18"/>
                <w:szCs w:val="18"/>
              </w:rPr>
              <w:t>按照配比设计标准击实次数成型试件</w:t>
            </w:r>
            <w:r>
              <w:rPr>
                <w:rFonts w:ascii="宋体" w:hAnsi="宋体"/>
                <w:kern w:val="0"/>
                <w:sz w:val="18"/>
                <w:szCs w:val="18"/>
              </w:rPr>
              <w:t>。</w:t>
            </w:r>
          </w:p>
        </w:tc>
      </w:tr>
    </w:tbl>
    <w:p w14:paraId="4152BA3C">
      <w:pPr>
        <w:pStyle w:val="107"/>
        <w:spacing w:before="156" w:after="156"/>
      </w:pPr>
      <w:bookmarkStart w:id="135" w:name="_Toc195013011"/>
      <w:bookmarkStart w:id="136" w:name="_Toc198802226"/>
      <w:bookmarkStart w:id="137" w:name="_Toc198815898"/>
      <w:bookmarkStart w:id="138" w:name="_Toc199251477"/>
      <w:bookmarkStart w:id="139" w:name="_Toc198816981"/>
      <w:r>
        <w:rPr>
          <w:rFonts w:hint="eastAsia"/>
        </w:rPr>
        <w:t>性能检验</w:t>
      </w:r>
      <w:bookmarkEnd w:id="135"/>
      <w:bookmarkEnd w:id="136"/>
      <w:bookmarkEnd w:id="137"/>
      <w:bookmarkEnd w:id="138"/>
      <w:bookmarkEnd w:id="139"/>
    </w:p>
    <w:p w14:paraId="1DBF6140">
      <w:pPr>
        <w:pStyle w:val="58"/>
        <w:ind w:firstLine="420"/>
      </w:pPr>
      <w:r>
        <w:rPr>
          <w:rFonts w:hint="eastAsia"/>
        </w:rPr>
        <w:t>LSPM高温稳定性和渗透性应符合表7的规定。</w:t>
      </w:r>
    </w:p>
    <w:p w14:paraId="52028960">
      <w:pPr>
        <w:pStyle w:val="114"/>
        <w:spacing w:before="156" w:after="156"/>
      </w:pPr>
      <w:r>
        <w:rPr>
          <w:rFonts w:hint="eastAsia"/>
        </w:rPr>
        <w:t>LSPM性能检验技术要求</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28" w:type="dxa"/>
          <w:bottom w:w="0" w:type="dxa"/>
          <w:right w:w="28" w:type="dxa"/>
        </w:tblCellMar>
      </w:tblPr>
      <w:tblGrid>
        <w:gridCol w:w="1161"/>
        <w:gridCol w:w="2270"/>
        <w:gridCol w:w="851"/>
        <w:gridCol w:w="2691"/>
        <w:gridCol w:w="2437"/>
      </w:tblGrid>
      <w:tr w14:paraId="6850C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17" w:type="pct"/>
            <w:tcBorders>
              <w:top w:val="single" w:color="auto" w:sz="8" w:space="0"/>
            </w:tcBorders>
            <w:vAlign w:val="center"/>
          </w:tcPr>
          <w:p w14:paraId="465CF966">
            <w:pPr>
              <w:adjustRightInd/>
              <w:spacing w:line="240" w:lineRule="auto"/>
              <w:jc w:val="center"/>
              <w:rPr>
                <w:rFonts w:ascii="宋体" w:hAnsi="宋体"/>
                <w:sz w:val="18"/>
                <w:szCs w:val="18"/>
              </w:rPr>
            </w:pPr>
            <w:r>
              <w:rPr>
                <w:rFonts w:hint="eastAsia" w:ascii="宋体" w:hAnsi="宋体"/>
                <w:sz w:val="18"/>
                <w:szCs w:val="18"/>
              </w:rPr>
              <w:t>性能项目</w:t>
            </w:r>
          </w:p>
        </w:tc>
        <w:tc>
          <w:tcPr>
            <w:tcW w:w="1206" w:type="pct"/>
            <w:tcBorders>
              <w:top w:val="single" w:color="auto" w:sz="8" w:space="0"/>
            </w:tcBorders>
            <w:vAlign w:val="center"/>
          </w:tcPr>
          <w:p w14:paraId="77D88981">
            <w:pPr>
              <w:adjustRightInd/>
              <w:spacing w:line="240" w:lineRule="auto"/>
              <w:jc w:val="center"/>
              <w:rPr>
                <w:rFonts w:ascii="宋体" w:hAnsi="宋体"/>
                <w:sz w:val="18"/>
                <w:szCs w:val="18"/>
              </w:rPr>
            </w:pPr>
            <w:r>
              <w:rPr>
                <w:rFonts w:hint="eastAsia" w:ascii="宋体" w:hAnsi="宋体"/>
                <w:sz w:val="18"/>
                <w:szCs w:val="18"/>
              </w:rPr>
              <w:t>试验指标</w:t>
            </w:r>
          </w:p>
        </w:tc>
        <w:tc>
          <w:tcPr>
            <w:tcW w:w="452" w:type="pct"/>
            <w:tcBorders>
              <w:top w:val="single" w:color="auto" w:sz="8" w:space="0"/>
              <w:bottom w:val="single" w:color="auto" w:sz="4" w:space="0"/>
            </w:tcBorders>
            <w:vAlign w:val="center"/>
          </w:tcPr>
          <w:p w14:paraId="492016B2">
            <w:pPr>
              <w:adjustRightInd/>
              <w:spacing w:line="240" w:lineRule="auto"/>
              <w:jc w:val="center"/>
              <w:rPr>
                <w:rFonts w:ascii="宋体" w:hAnsi="宋体"/>
                <w:sz w:val="18"/>
                <w:szCs w:val="18"/>
              </w:rPr>
            </w:pPr>
            <w:r>
              <w:rPr>
                <w:rFonts w:hint="eastAsia" w:ascii="宋体" w:hAnsi="宋体"/>
                <w:sz w:val="18"/>
                <w:szCs w:val="18"/>
              </w:rPr>
              <w:t>单位</w:t>
            </w:r>
          </w:p>
        </w:tc>
        <w:tc>
          <w:tcPr>
            <w:tcW w:w="1430" w:type="pct"/>
            <w:tcBorders>
              <w:top w:val="single" w:color="auto" w:sz="8" w:space="0"/>
              <w:bottom w:val="single" w:color="auto" w:sz="4" w:space="0"/>
              <w:right w:val="single" w:color="auto" w:sz="4" w:space="0"/>
            </w:tcBorders>
            <w:vAlign w:val="center"/>
          </w:tcPr>
          <w:p w14:paraId="6F1375D1">
            <w:pPr>
              <w:adjustRightInd/>
              <w:spacing w:line="240" w:lineRule="auto"/>
              <w:jc w:val="center"/>
              <w:rPr>
                <w:rFonts w:ascii="宋体" w:hAnsi="宋体"/>
                <w:sz w:val="18"/>
                <w:szCs w:val="18"/>
              </w:rPr>
            </w:pPr>
            <w:r>
              <w:rPr>
                <w:rFonts w:hint="eastAsia" w:ascii="宋体" w:hAnsi="宋体"/>
                <w:sz w:val="18"/>
                <w:szCs w:val="18"/>
              </w:rPr>
              <w:t>技术要求</w:t>
            </w:r>
          </w:p>
        </w:tc>
        <w:tc>
          <w:tcPr>
            <w:tcW w:w="1295" w:type="pct"/>
            <w:tcBorders>
              <w:top w:val="single" w:color="auto" w:sz="8" w:space="0"/>
              <w:left w:val="single" w:color="auto" w:sz="4" w:space="0"/>
              <w:bottom w:val="single" w:color="auto" w:sz="8" w:space="0"/>
            </w:tcBorders>
            <w:vAlign w:val="center"/>
          </w:tcPr>
          <w:p w14:paraId="589BB3E2">
            <w:pPr>
              <w:adjustRightInd/>
              <w:spacing w:line="240" w:lineRule="auto"/>
              <w:jc w:val="center"/>
              <w:rPr>
                <w:rFonts w:ascii="宋体" w:hAnsi="宋体"/>
                <w:sz w:val="18"/>
                <w:szCs w:val="18"/>
              </w:rPr>
            </w:pPr>
            <w:r>
              <w:rPr>
                <w:rFonts w:hint="eastAsia" w:ascii="宋体" w:hAnsi="宋体"/>
                <w:sz w:val="18"/>
                <w:szCs w:val="18"/>
              </w:rPr>
              <w:t>试验方法</w:t>
            </w:r>
          </w:p>
        </w:tc>
      </w:tr>
      <w:tr w14:paraId="434CD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17" w:type="pct"/>
            <w:vAlign w:val="center"/>
          </w:tcPr>
          <w:p w14:paraId="7CFEF21E">
            <w:pPr>
              <w:adjustRightInd/>
              <w:spacing w:line="240" w:lineRule="auto"/>
              <w:jc w:val="center"/>
              <w:rPr>
                <w:sz w:val="18"/>
                <w:szCs w:val="18"/>
              </w:rPr>
            </w:pPr>
            <w:r>
              <w:rPr>
                <w:rFonts w:hint="eastAsia" w:ascii="宋体" w:hAnsi="宋体"/>
                <w:sz w:val="18"/>
                <w:szCs w:val="18"/>
              </w:rPr>
              <w:t>高温稳定性</w:t>
            </w:r>
          </w:p>
        </w:tc>
        <w:tc>
          <w:tcPr>
            <w:tcW w:w="1206" w:type="pct"/>
            <w:vAlign w:val="center"/>
          </w:tcPr>
          <w:p w14:paraId="5B9B5279">
            <w:pPr>
              <w:adjustRightInd/>
              <w:spacing w:line="240" w:lineRule="auto"/>
              <w:jc w:val="center"/>
              <w:rPr>
                <w:rFonts w:ascii="宋体" w:hAnsi="宋体"/>
                <w:sz w:val="18"/>
                <w:szCs w:val="18"/>
              </w:rPr>
            </w:pPr>
            <w:r>
              <w:rPr>
                <w:rFonts w:hint="eastAsia" w:ascii="宋体" w:hAnsi="宋体"/>
                <w:sz w:val="18"/>
                <w:szCs w:val="18"/>
              </w:rPr>
              <w:t>汉堡车辙最大深度</w:t>
            </w:r>
            <w:r>
              <w:rPr>
                <w:rFonts w:hint="eastAsia" w:ascii="宋体" w:hAnsi="宋体"/>
                <w:sz w:val="18"/>
                <w:szCs w:val="18"/>
                <w:vertAlign w:val="superscript"/>
              </w:rPr>
              <w:t>a</w:t>
            </w:r>
            <w:r>
              <w:rPr>
                <w:rFonts w:hint="eastAsia" w:ascii="宋体" w:hAnsi="宋体"/>
                <w:sz w:val="18"/>
                <w:szCs w:val="18"/>
              </w:rPr>
              <w:t>（50</w:t>
            </w:r>
            <w:r>
              <w:rPr>
                <w:rFonts w:ascii="宋体" w:hAnsi="宋体"/>
                <w:sz w:val="18"/>
                <w:szCs w:val="18"/>
              </w:rPr>
              <w:t> </w:t>
            </w:r>
            <w:r>
              <w:rPr>
                <w:rFonts w:hint="eastAsia" w:ascii="宋体" w:hAnsi="宋体"/>
                <w:sz w:val="18"/>
                <w:szCs w:val="18"/>
              </w:rPr>
              <w:t>℃）</w:t>
            </w:r>
          </w:p>
        </w:tc>
        <w:tc>
          <w:tcPr>
            <w:tcW w:w="452" w:type="pct"/>
            <w:vAlign w:val="center"/>
          </w:tcPr>
          <w:p w14:paraId="70B7C33F">
            <w:pPr>
              <w:adjustRightInd/>
              <w:spacing w:line="240" w:lineRule="auto"/>
              <w:jc w:val="center"/>
              <w:rPr>
                <w:rFonts w:ascii="宋体" w:hAnsi="宋体"/>
                <w:sz w:val="18"/>
                <w:szCs w:val="18"/>
              </w:rPr>
            </w:pPr>
            <w:r>
              <w:rPr>
                <w:rFonts w:hint="eastAsia" w:ascii="宋体" w:hAnsi="宋体"/>
                <w:sz w:val="18"/>
                <w:szCs w:val="18"/>
              </w:rPr>
              <w:t>m</w:t>
            </w:r>
            <w:r>
              <w:rPr>
                <w:rFonts w:ascii="宋体" w:hAnsi="宋体"/>
                <w:sz w:val="18"/>
                <w:szCs w:val="18"/>
              </w:rPr>
              <w:t>m</w:t>
            </w:r>
          </w:p>
        </w:tc>
        <w:tc>
          <w:tcPr>
            <w:tcW w:w="1430" w:type="pct"/>
            <w:vAlign w:val="center"/>
          </w:tcPr>
          <w:p w14:paraId="54CA392D">
            <w:pPr>
              <w:adjustRightInd/>
              <w:spacing w:line="240" w:lineRule="auto"/>
              <w:jc w:val="center"/>
              <w:rPr>
                <w:rFonts w:ascii="宋体" w:hAnsi="宋体"/>
                <w:sz w:val="18"/>
                <w:szCs w:val="18"/>
              </w:rPr>
            </w:pPr>
            <w:r>
              <w:rPr>
                <w:rFonts w:hint="eastAsia" w:ascii="宋体" w:hAnsi="宋体"/>
                <w:sz w:val="18"/>
                <w:szCs w:val="18"/>
              </w:rPr>
              <w:t>≤10</w:t>
            </w:r>
          </w:p>
        </w:tc>
        <w:tc>
          <w:tcPr>
            <w:tcW w:w="1295" w:type="pct"/>
            <w:vAlign w:val="center"/>
          </w:tcPr>
          <w:p w14:paraId="6D0065C3">
            <w:pPr>
              <w:adjustRightInd/>
              <w:spacing w:line="240" w:lineRule="auto"/>
              <w:jc w:val="center"/>
              <w:rPr>
                <w:rFonts w:ascii="宋体" w:hAnsi="宋体"/>
                <w:sz w:val="18"/>
                <w:szCs w:val="18"/>
              </w:rPr>
            </w:pPr>
            <w:r>
              <w:rPr>
                <w:rFonts w:hint="eastAsia" w:ascii="宋体" w:hAnsi="宋体"/>
                <w:sz w:val="18"/>
                <w:szCs w:val="18"/>
              </w:rPr>
              <w:t>DB37/T 1722—2024 附录G</w:t>
            </w:r>
          </w:p>
        </w:tc>
      </w:tr>
      <w:tr w14:paraId="6E4307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17" w:type="pct"/>
            <w:tcBorders>
              <w:bottom w:val="single" w:color="auto" w:sz="8" w:space="0"/>
            </w:tcBorders>
            <w:vAlign w:val="center"/>
          </w:tcPr>
          <w:p w14:paraId="751543D9">
            <w:pPr>
              <w:adjustRightInd/>
              <w:spacing w:line="240" w:lineRule="auto"/>
              <w:jc w:val="center"/>
              <w:rPr>
                <w:sz w:val="18"/>
                <w:szCs w:val="18"/>
              </w:rPr>
            </w:pPr>
            <w:r>
              <w:rPr>
                <w:rFonts w:hint="eastAsia"/>
                <w:sz w:val="18"/>
                <w:szCs w:val="18"/>
              </w:rPr>
              <w:t>渗透性</w:t>
            </w:r>
          </w:p>
        </w:tc>
        <w:tc>
          <w:tcPr>
            <w:tcW w:w="1206" w:type="pct"/>
            <w:tcBorders>
              <w:bottom w:val="single" w:color="auto" w:sz="8" w:space="0"/>
            </w:tcBorders>
            <w:vAlign w:val="center"/>
          </w:tcPr>
          <w:p w14:paraId="4BD8BFC9">
            <w:pPr>
              <w:adjustRightInd/>
              <w:spacing w:line="240" w:lineRule="auto"/>
              <w:jc w:val="center"/>
              <w:rPr>
                <w:rFonts w:ascii="宋体" w:hAnsi="宋体"/>
                <w:sz w:val="18"/>
                <w:szCs w:val="18"/>
              </w:rPr>
            </w:pPr>
            <w:r>
              <w:rPr>
                <w:rFonts w:hint="eastAsia"/>
                <w:sz w:val="18"/>
                <w:szCs w:val="18"/>
              </w:rPr>
              <w:t>渗水系数</w:t>
            </w:r>
          </w:p>
        </w:tc>
        <w:tc>
          <w:tcPr>
            <w:tcW w:w="452" w:type="pct"/>
            <w:tcBorders>
              <w:bottom w:val="single" w:color="auto" w:sz="8" w:space="0"/>
            </w:tcBorders>
            <w:vAlign w:val="center"/>
          </w:tcPr>
          <w:p w14:paraId="554267D9">
            <w:pPr>
              <w:adjustRightInd/>
              <w:spacing w:line="240" w:lineRule="auto"/>
              <w:jc w:val="center"/>
              <w:rPr>
                <w:rFonts w:ascii="宋体" w:hAnsi="宋体"/>
                <w:sz w:val="18"/>
                <w:szCs w:val="18"/>
              </w:rPr>
            </w:pPr>
            <w:r>
              <w:rPr>
                <w:rFonts w:hint="eastAsia" w:ascii="宋体" w:hAnsi="宋体"/>
                <w:sz w:val="18"/>
                <w:szCs w:val="18"/>
              </w:rPr>
              <w:t>mL/min</w:t>
            </w:r>
          </w:p>
        </w:tc>
        <w:tc>
          <w:tcPr>
            <w:tcW w:w="1430" w:type="pct"/>
            <w:tcBorders>
              <w:bottom w:val="single" w:color="auto" w:sz="8" w:space="0"/>
            </w:tcBorders>
            <w:vAlign w:val="center"/>
          </w:tcPr>
          <w:p w14:paraId="6F96C3E6">
            <w:pPr>
              <w:adjustRightInd/>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 </w:t>
            </w:r>
            <w:r>
              <w:rPr>
                <w:rFonts w:hint="eastAsia" w:ascii="宋体" w:hAnsi="宋体"/>
                <w:sz w:val="18"/>
                <w:szCs w:val="18"/>
              </w:rPr>
              <w:t>000</w:t>
            </w:r>
          </w:p>
        </w:tc>
        <w:tc>
          <w:tcPr>
            <w:tcW w:w="1295" w:type="pct"/>
            <w:tcBorders>
              <w:bottom w:val="single" w:color="auto" w:sz="8" w:space="0"/>
            </w:tcBorders>
            <w:vAlign w:val="center"/>
          </w:tcPr>
          <w:p w14:paraId="05E6471E">
            <w:pPr>
              <w:adjustRightInd/>
              <w:spacing w:line="240" w:lineRule="auto"/>
              <w:jc w:val="center"/>
              <w:rPr>
                <w:rFonts w:ascii="宋体" w:hAnsi="宋体"/>
                <w:sz w:val="18"/>
                <w:szCs w:val="18"/>
              </w:rPr>
            </w:pPr>
            <w:r>
              <w:rPr>
                <w:rFonts w:hint="eastAsia" w:ascii="宋体" w:hAnsi="宋体"/>
                <w:sz w:val="18"/>
                <w:szCs w:val="18"/>
              </w:rPr>
              <w:t>JTG/T 3350-03—2020 附录D</w:t>
            </w:r>
          </w:p>
        </w:tc>
      </w:tr>
      <w:tr w14:paraId="00F8CA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000" w:type="pct"/>
            <w:gridSpan w:val="5"/>
            <w:tcBorders>
              <w:top w:val="single" w:color="auto" w:sz="8" w:space="0"/>
              <w:bottom w:val="single" w:color="auto" w:sz="8" w:space="0"/>
            </w:tcBorders>
            <w:vAlign w:val="center"/>
          </w:tcPr>
          <w:p w14:paraId="1C804C38">
            <w:pPr>
              <w:widowControl/>
              <w:tabs>
                <w:tab w:val="left" w:pos="1034"/>
                <w:tab w:val="center" w:pos="4201"/>
                <w:tab w:val="right" w:leader="dot" w:pos="9298"/>
              </w:tabs>
              <w:autoSpaceDE w:val="0"/>
              <w:autoSpaceDN w:val="0"/>
              <w:adjustRightInd/>
              <w:spacing w:line="240" w:lineRule="auto"/>
              <w:ind w:firstLine="360" w:firstLineChars="200"/>
              <w:rPr>
                <w:rFonts w:ascii="宋体" w:hAnsi="宋体"/>
                <w:sz w:val="18"/>
                <w:szCs w:val="18"/>
                <w:highlight w:val="yellow"/>
              </w:rPr>
            </w:pPr>
            <w:r>
              <w:rPr>
                <w:rFonts w:hint="eastAsia" w:ascii="宋体" w:hAnsi="宋体"/>
                <w:sz w:val="18"/>
                <w:szCs w:val="18"/>
                <w:vertAlign w:val="superscript"/>
              </w:rPr>
              <w:t>a</w:t>
            </w:r>
            <w:r>
              <w:rPr>
                <w:rFonts w:ascii="宋体" w:hAnsi="宋体"/>
                <w:sz w:val="18"/>
                <w:szCs w:val="18"/>
                <w:vertAlign w:val="superscript"/>
              </w:rPr>
              <w:t xml:space="preserve"> </w:t>
            </w:r>
            <w:r>
              <w:rPr>
                <w:rFonts w:hint="eastAsia" w:ascii="宋体" w:hAnsi="宋体"/>
                <w:sz w:val="18"/>
                <w:szCs w:val="18"/>
              </w:rPr>
              <w:t>汉堡车辙试验普通道路石油沥青轮碾次数为10</w:t>
            </w:r>
            <w:r>
              <w:rPr>
                <w:rFonts w:ascii="宋体" w:hAnsi="宋体"/>
                <w:sz w:val="18"/>
                <w:szCs w:val="18"/>
              </w:rPr>
              <w:t> </w:t>
            </w:r>
            <w:r>
              <w:rPr>
                <w:rFonts w:hint="eastAsia" w:ascii="宋体" w:hAnsi="宋体"/>
                <w:sz w:val="18"/>
                <w:szCs w:val="18"/>
              </w:rPr>
              <w:t>000次，改性沥青轮碾次数为20</w:t>
            </w:r>
            <w:r>
              <w:rPr>
                <w:rFonts w:ascii="宋体" w:hAnsi="宋体"/>
                <w:sz w:val="18"/>
                <w:szCs w:val="18"/>
              </w:rPr>
              <w:t> </w:t>
            </w:r>
            <w:r>
              <w:rPr>
                <w:rFonts w:hint="eastAsia" w:ascii="宋体" w:hAnsi="宋体"/>
                <w:sz w:val="18"/>
                <w:szCs w:val="18"/>
              </w:rPr>
              <w:t>000次。</w:t>
            </w:r>
          </w:p>
        </w:tc>
      </w:tr>
    </w:tbl>
    <w:p w14:paraId="638129A5">
      <w:pPr>
        <w:pStyle w:val="107"/>
        <w:spacing w:before="156" w:after="156"/>
      </w:pPr>
      <w:bookmarkStart w:id="140" w:name="_Toc198802227"/>
      <w:bookmarkStart w:id="141" w:name="_Toc195013012"/>
      <w:bookmarkStart w:id="142" w:name="_Toc169879608"/>
      <w:bookmarkStart w:id="143" w:name="_Toc199251478"/>
      <w:bookmarkStart w:id="144" w:name="_Toc198815899"/>
      <w:bookmarkStart w:id="145" w:name="_Toc198816982"/>
      <w:r>
        <w:rPr>
          <w:rFonts w:hint="eastAsia"/>
        </w:rPr>
        <w:t>目标配合比设计</w:t>
      </w:r>
      <w:bookmarkEnd w:id="140"/>
      <w:bookmarkEnd w:id="141"/>
      <w:bookmarkEnd w:id="142"/>
      <w:bookmarkEnd w:id="143"/>
      <w:bookmarkEnd w:id="144"/>
      <w:bookmarkEnd w:id="145"/>
    </w:p>
    <w:p w14:paraId="6D278584">
      <w:pPr>
        <w:pStyle w:val="167"/>
        <w:ind w:left="0"/>
      </w:pPr>
      <w:r>
        <w:rPr>
          <w:rFonts w:hint="eastAsia"/>
        </w:rPr>
        <w:t>目标配合比按照附录A进行设计。</w:t>
      </w:r>
    </w:p>
    <w:p w14:paraId="203A17CF">
      <w:pPr>
        <w:pStyle w:val="167"/>
        <w:ind w:left="0"/>
      </w:pPr>
      <w:r>
        <w:rPr>
          <w:rFonts w:hint="eastAsia"/>
        </w:rPr>
        <w:t>目标配合比确定后，工地试验室应根据进场原材料规格进行级配复核及关键性能指标验证。</w:t>
      </w:r>
    </w:p>
    <w:p w14:paraId="6FB0279A">
      <w:pPr>
        <w:pStyle w:val="107"/>
        <w:spacing w:before="156" w:after="156"/>
        <w:rPr>
          <w:color w:val="FF0000"/>
        </w:rPr>
      </w:pPr>
      <w:bookmarkStart w:id="146" w:name="_Toc198816983"/>
      <w:bookmarkStart w:id="147" w:name="_Toc199251479"/>
      <w:bookmarkStart w:id="148" w:name="_Toc195013013"/>
      <w:bookmarkStart w:id="149" w:name="_Toc198815900"/>
      <w:bookmarkStart w:id="150" w:name="_Toc198802228"/>
      <w:bookmarkStart w:id="151" w:name="_Toc169879609"/>
      <w:r>
        <w:rPr>
          <w:rFonts w:hint="eastAsia"/>
        </w:rPr>
        <w:t>生产配合比设计</w:t>
      </w:r>
      <w:bookmarkEnd w:id="146"/>
      <w:bookmarkEnd w:id="147"/>
      <w:bookmarkEnd w:id="148"/>
      <w:bookmarkEnd w:id="149"/>
      <w:bookmarkEnd w:id="150"/>
      <w:bookmarkEnd w:id="151"/>
    </w:p>
    <w:p w14:paraId="53EC431E">
      <w:pPr>
        <w:pStyle w:val="167"/>
        <w:ind w:left="0"/>
        <w:rPr>
          <w:strike/>
        </w:rPr>
      </w:pPr>
      <w:r>
        <w:rPr>
          <w:rFonts w:hint="eastAsia"/>
        </w:rPr>
        <w:t>生产配合比设计应采用间歇式拌和机进行设计。</w:t>
      </w:r>
    </w:p>
    <w:p w14:paraId="29D7BFA0">
      <w:pPr>
        <w:pStyle w:val="167"/>
        <w:ind w:left="0"/>
        <w:rPr>
          <w:strike/>
        </w:rPr>
      </w:pPr>
      <w:r>
        <w:rPr>
          <w:rFonts w:hint="eastAsia"/>
        </w:rPr>
        <w:t>间歇式拌和机应按规定方法取样测试各热料仓的材料级配，根据各热仓材料级配调试粗细不同的三个级配比例。</w:t>
      </w:r>
    </w:p>
    <w:p w14:paraId="54DF1BEA">
      <w:pPr>
        <w:pStyle w:val="167"/>
        <w:ind w:left="0"/>
        <w:rPr>
          <w:strike/>
        </w:rPr>
      </w:pPr>
      <w:r>
        <w:rPr>
          <w:rFonts w:hint="eastAsia"/>
        </w:rPr>
        <w:t>按目标配合比确定的最佳沥青用量进行试拌，取具有代表性的试样进行室内试验，检验沥青混合料体积参数、矿料级配、沥青用量等指标是否满足要求，并优选其中一条矿料合成级配。</w:t>
      </w:r>
    </w:p>
    <w:p w14:paraId="0E3EC218">
      <w:pPr>
        <w:pStyle w:val="167"/>
        <w:ind w:left="0"/>
      </w:pPr>
      <w:r>
        <w:rPr>
          <w:rFonts w:hint="eastAsia"/>
        </w:rPr>
        <w:t>根据优选的矿料合成级配，按目标配合比确定的最佳沥青用量OAC、OAC±0.3％进行试拌，取具有代表性的试样进行室内试验，检验沥青混合料体积参数、矿料级配、沥青用量等指标是否满足要求，综合确定生产配合比。</w:t>
      </w:r>
    </w:p>
    <w:p w14:paraId="18A8BD48">
      <w:pPr>
        <w:pStyle w:val="167"/>
        <w:ind w:left="0"/>
      </w:pPr>
      <w:r>
        <w:rPr>
          <w:rFonts w:hint="eastAsia"/>
        </w:rPr>
        <w:t>生产配合比设计确定的最佳沥青用量与目标配合比设计的结果的差值不宜大于±0.2％。</w:t>
      </w:r>
    </w:p>
    <w:p w14:paraId="1C722D3A">
      <w:pPr>
        <w:pStyle w:val="167"/>
        <w:ind w:left="0"/>
      </w:pPr>
      <w:r>
        <w:rPr>
          <w:rFonts w:hint="eastAsia"/>
        </w:rPr>
        <w:t>每次试拌后应再次对热料仓进行取样筛分，分析各热料仓筛分结果变异性是否在可控范围内，偏差较大时及时查找原因予以消除。</w:t>
      </w:r>
    </w:p>
    <w:p w14:paraId="633DDB24">
      <w:pPr>
        <w:pStyle w:val="167"/>
        <w:ind w:left="0"/>
      </w:pPr>
      <w:r>
        <w:rPr>
          <w:rFonts w:hint="eastAsia"/>
        </w:rPr>
        <w:t>当生产配合比设计结果与目标配合比设计结果出现较大差异，或对生产配合比有疑义时，应重新进行性能验证。</w:t>
      </w:r>
    </w:p>
    <w:p w14:paraId="570CE272">
      <w:pPr>
        <w:pStyle w:val="107"/>
        <w:spacing w:before="156" w:after="156"/>
      </w:pPr>
      <w:bookmarkStart w:id="152" w:name="_Toc195013014"/>
      <w:bookmarkStart w:id="153" w:name="_Toc169879610"/>
      <w:bookmarkStart w:id="154" w:name="_Toc199251480"/>
      <w:bookmarkStart w:id="155" w:name="_Toc198815901"/>
      <w:bookmarkStart w:id="156" w:name="_Toc198802229"/>
      <w:bookmarkStart w:id="157" w:name="_Toc198816984"/>
      <w:r>
        <w:rPr>
          <w:rFonts w:hint="eastAsia"/>
        </w:rPr>
        <w:t>生产配合比验证</w:t>
      </w:r>
      <w:bookmarkEnd w:id="152"/>
      <w:bookmarkEnd w:id="153"/>
      <w:bookmarkEnd w:id="154"/>
      <w:bookmarkEnd w:id="155"/>
      <w:bookmarkEnd w:id="156"/>
      <w:bookmarkEnd w:id="157"/>
    </w:p>
    <w:p w14:paraId="24581E9C">
      <w:pPr>
        <w:pStyle w:val="167"/>
        <w:ind w:left="0"/>
      </w:pPr>
      <w:r>
        <w:rPr>
          <w:rFonts w:hint="eastAsia"/>
        </w:rPr>
        <w:t>生产配合比验证应按生产配合比设计结果进行试拌并铺筑试验段，过程中取样进行室内试验，同时对铺筑试验段进行路面检测，由此确定生产用的标准配合比。</w:t>
      </w:r>
    </w:p>
    <w:p w14:paraId="639B0F6D">
      <w:pPr>
        <w:pStyle w:val="167"/>
        <w:ind w:left="0"/>
      </w:pPr>
      <w:r>
        <w:rPr>
          <w:rFonts w:hint="eastAsia"/>
        </w:rPr>
        <w:t>对铺筑的试验路段应从现场钻取混合料芯样进行汉堡车辙试验，检验沥青混合料高温稳定性及水稳定性能，其技术要求应符合表7的规定。</w:t>
      </w:r>
    </w:p>
    <w:p w14:paraId="4EABB0BF">
      <w:pPr>
        <w:pStyle w:val="167"/>
        <w:ind w:left="0"/>
      </w:pPr>
      <w:r>
        <w:rPr>
          <w:rFonts w:hint="eastAsia"/>
        </w:rPr>
        <w:t>标准配合比的矿料合成级配中应至少包括0.075</w:t>
      </w:r>
      <w:r>
        <w:t> </w:t>
      </w:r>
      <w:r>
        <w:rPr>
          <w:rFonts w:hint="eastAsia"/>
        </w:rPr>
        <w:t>mm、9.5</w:t>
      </w:r>
      <w:r>
        <w:t> </w:t>
      </w:r>
      <w:r>
        <w:rPr>
          <w:rFonts w:hint="eastAsia"/>
        </w:rPr>
        <w:t>mm、19</w:t>
      </w:r>
      <w:r>
        <w:t> </w:t>
      </w:r>
      <w:r>
        <w:rPr>
          <w:rFonts w:hint="eastAsia"/>
        </w:rPr>
        <w:t>mm及公称最大粒径筛孔的通过率接近优选的工程设计级配范围的中值，并避免在0.3</w:t>
      </w:r>
      <w:r>
        <w:t> </w:t>
      </w:r>
      <w:r>
        <w:rPr>
          <w:rFonts w:hint="eastAsia"/>
        </w:rPr>
        <w:t>mm～0.6</w:t>
      </w:r>
      <w:r>
        <w:t> </w:t>
      </w:r>
      <w:r>
        <w:rPr>
          <w:rFonts w:hint="eastAsia"/>
        </w:rPr>
        <w:t>mm出现“驼峰”。</w:t>
      </w:r>
    </w:p>
    <w:p w14:paraId="2BA87BA9">
      <w:pPr>
        <w:pStyle w:val="167"/>
        <w:ind w:left="0"/>
      </w:pPr>
      <w:r>
        <w:rPr>
          <w:rFonts w:hint="eastAsia"/>
        </w:rPr>
        <w:t>确定施工级配允许波动范围，根据标准配合比及第7章施工质量管理中各筛孔的允许波动范围，制定施工用的级配控制范围，用以检查沥青混合料的生产质量。</w:t>
      </w:r>
    </w:p>
    <w:p w14:paraId="799CC7ED">
      <w:pPr>
        <w:pStyle w:val="167"/>
        <w:ind w:left="0"/>
      </w:pPr>
      <w:r>
        <w:rPr>
          <w:rFonts w:hint="eastAsia"/>
        </w:rPr>
        <w:t>经设计确定的标准配合比在施工过程中不应随意变更。如遇材料发生变化并经检测沥青混合料的矿料级配、技术指标不符要求时，应调整配合比，必要时重新进行配合比设计。</w:t>
      </w:r>
    </w:p>
    <w:p w14:paraId="0EAEBE85">
      <w:pPr>
        <w:pStyle w:val="106"/>
        <w:spacing w:before="312" w:after="312"/>
      </w:pPr>
      <w:bookmarkStart w:id="158" w:name="_Toc198816985"/>
      <w:bookmarkStart w:id="159" w:name="_Toc199251481"/>
      <w:bookmarkStart w:id="160" w:name="_Toc195013015"/>
      <w:bookmarkStart w:id="161" w:name="_Toc198815902"/>
      <w:bookmarkStart w:id="162" w:name="_Toc169879611"/>
      <w:bookmarkStart w:id="163" w:name="_Toc198802230"/>
      <w:r>
        <w:rPr>
          <w:rFonts w:hint="eastAsia"/>
        </w:rPr>
        <w:t>施工</w:t>
      </w:r>
      <w:bookmarkEnd w:id="158"/>
      <w:bookmarkEnd w:id="159"/>
      <w:bookmarkEnd w:id="160"/>
      <w:bookmarkEnd w:id="161"/>
      <w:bookmarkEnd w:id="162"/>
      <w:bookmarkEnd w:id="163"/>
    </w:p>
    <w:p w14:paraId="60CFABB0">
      <w:pPr>
        <w:pStyle w:val="107"/>
        <w:spacing w:before="156" w:after="156"/>
      </w:pPr>
      <w:bookmarkStart w:id="164" w:name="_Toc169879612"/>
      <w:bookmarkStart w:id="165" w:name="_Toc198802231"/>
      <w:bookmarkStart w:id="166" w:name="_Toc198815903"/>
      <w:bookmarkStart w:id="167" w:name="_Toc195013016"/>
      <w:bookmarkStart w:id="168" w:name="_Toc198816986"/>
      <w:bookmarkStart w:id="169" w:name="_Toc199251482"/>
      <w:r>
        <w:rPr>
          <w:rFonts w:hint="eastAsia"/>
        </w:rPr>
        <w:t>一般规定</w:t>
      </w:r>
      <w:bookmarkEnd w:id="164"/>
      <w:bookmarkEnd w:id="165"/>
      <w:bookmarkEnd w:id="166"/>
      <w:bookmarkEnd w:id="167"/>
      <w:bookmarkEnd w:id="168"/>
      <w:bookmarkEnd w:id="169"/>
    </w:p>
    <w:p w14:paraId="19FA61B2">
      <w:pPr>
        <w:pStyle w:val="167"/>
        <w:ind w:left="0"/>
      </w:pPr>
      <w:r>
        <w:rPr>
          <w:rFonts w:hint="eastAsia"/>
        </w:rPr>
        <w:t>施工准备、机械设备准备等相关其技术要求应符合JTG F40的有关规定。</w:t>
      </w:r>
    </w:p>
    <w:p w14:paraId="3582AC93">
      <w:pPr>
        <w:pStyle w:val="167"/>
        <w:ind w:left="0"/>
      </w:pPr>
      <w:r>
        <w:rPr>
          <w:rFonts w:hint="eastAsia"/>
        </w:rPr>
        <w:t>LSPM应根据试验段确定的标准配比、机械设备参数、施工温度、摊铺碾压工艺等进行施工。</w:t>
      </w:r>
    </w:p>
    <w:p w14:paraId="7123651B">
      <w:pPr>
        <w:pStyle w:val="167"/>
        <w:ind w:left="0"/>
      </w:pPr>
      <w:r>
        <w:rPr>
          <w:rFonts w:hint="eastAsia"/>
        </w:rPr>
        <w:t>沥青胶结料加热温度、混合料施工温度应根据不同沥青胶结料类型、黏度、气候条件、下卧层温度、风速及铺装层厚度等合理确定，可参照表8的范围选择，并根据实际情况确定使用高值或低值。当表中温度与实际情况不符时，应作适当调整。</w:t>
      </w:r>
    </w:p>
    <w:p w14:paraId="75EAB79D">
      <w:pPr>
        <w:pStyle w:val="114"/>
        <w:spacing w:before="156" w:after="156"/>
      </w:pPr>
      <w:r>
        <w:rPr>
          <w:rFonts w:hint="eastAsia"/>
        </w:rPr>
        <w:t>LSPM沥青混合料施工温度表</w:t>
      </w:r>
    </w:p>
    <w:tbl>
      <w:tblPr>
        <w:tblStyle w:val="27"/>
        <w:tblW w:w="486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008"/>
        <w:gridCol w:w="826"/>
        <w:gridCol w:w="1985"/>
        <w:gridCol w:w="1842"/>
        <w:gridCol w:w="2658"/>
      </w:tblGrid>
      <w:tr w14:paraId="3114DC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009" w:type="dxa"/>
            <w:tcBorders>
              <w:top w:val="single" w:color="auto" w:sz="8" w:space="0"/>
              <w:bottom w:val="single" w:color="auto" w:sz="8" w:space="0"/>
            </w:tcBorders>
            <w:shd w:val="clear" w:color="auto" w:fill="auto"/>
            <w:vAlign w:val="center"/>
          </w:tcPr>
          <w:p w14:paraId="4892F726">
            <w:pPr>
              <w:adjustRightInd/>
              <w:spacing w:line="240" w:lineRule="auto"/>
              <w:jc w:val="center"/>
              <w:rPr>
                <w:rFonts w:ascii="宋体" w:hAnsi="宋体"/>
                <w:sz w:val="18"/>
                <w:szCs w:val="18"/>
              </w:rPr>
            </w:pPr>
            <w:r>
              <w:rPr>
                <w:rFonts w:hint="eastAsia" w:ascii="宋体" w:hAnsi="宋体"/>
                <w:sz w:val="18"/>
                <w:szCs w:val="18"/>
              </w:rPr>
              <w:t>施工工序</w:t>
            </w:r>
          </w:p>
        </w:tc>
        <w:tc>
          <w:tcPr>
            <w:tcW w:w="826" w:type="dxa"/>
            <w:tcBorders>
              <w:top w:val="single" w:color="auto" w:sz="8" w:space="0"/>
              <w:bottom w:val="single" w:color="auto" w:sz="8" w:space="0"/>
            </w:tcBorders>
            <w:vAlign w:val="center"/>
          </w:tcPr>
          <w:p w14:paraId="4920430C">
            <w:pPr>
              <w:adjustRightInd/>
              <w:spacing w:line="240" w:lineRule="auto"/>
              <w:jc w:val="center"/>
              <w:rPr>
                <w:rFonts w:ascii="宋体" w:hAnsi="宋体"/>
                <w:sz w:val="18"/>
                <w:szCs w:val="18"/>
              </w:rPr>
            </w:pPr>
            <w:r>
              <w:rPr>
                <w:rFonts w:hint="eastAsia" w:ascii="宋体" w:hAnsi="宋体"/>
                <w:sz w:val="18"/>
                <w:szCs w:val="18"/>
              </w:rPr>
              <w:t>单位</w:t>
            </w:r>
          </w:p>
        </w:tc>
        <w:tc>
          <w:tcPr>
            <w:tcW w:w="1985" w:type="dxa"/>
            <w:tcBorders>
              <w:top w:val="single" w:color="auto" w:sz="8" w:space="0"/>
              <w:bottom w:val="single" w:color="auto" w:sz="8" w:space="0"/>
            </w:tcBorders>
            <w:shd w:val="clear" w:color="auto" w:fill="auto"/>
            <w:vAlign w:val="center"/>
          </w:tcPr>
          <w:p w14:paraId="75B8FFD1">
            <w:pPr>
              <w:adjustRightInd/>
              <w:spacing w:line="240" w:lineRule="auto"/>
              <w:jc w:val="center"/>
              <w:rPr>
                <w:rFonts w:ascii="宋体" w:hAnsi="宋体"/>
                <w:sz w:val="18"/>
                <w:szCs w:val="18"/>
              </w:rPr>
            </w:pPr>
            <w:r>
              <w:rPr>
                <w:rFonts w:hint="eastAsia" w:ascii="宋体" w:hAnsi="宋体"/>
                <w:sz w:val="18"/>
                <w:szCs w:val="18"/>
              </w:rPr>
              <w:t>道路石油沥青</w:t>
            </w:r>
          </w:p>
        </w:tc>
        <w:tc>
          <w:tcPr>
            <w:tcW w:w="1842" w:type="dxa"/>
            <w:tcBorders>
              <w:top w:val="single" w:color="auto" w:sz="8" w:space="0"/>
              <w:bottom w:val="single" w:color="auto" w:sz="8" w:space="0"/>
            </w:tcBorders>
            <w:vAlign w:val="center"/>
          </w:tcPr>
          <w:p w14:paraId="553AFAAC">
            <w:pPr>
              <w:adjustRightInd/>
              <w:spacing w:line="240" w:lineRule="auto"/>
              <w:jc w:val="center"/>
              <w:rPr>
                <w:rFonts w:ascii="宋体" w:hAnsi="宋体"/>
                <w:sz w:val="18"/>
                <w:szCs w:val="18"/>
              </w:rPr>
            </w:pPr>
            <w:r>
              <w:rPr>
                <w:rFonts w:hint="eastAsia" w:ascii="宋体" w:hAnsi="宋体"/>
                <w:sz w:val="18"/>
                <w:szCs w:val="18"/>
              </w:rPr>
              <w:t>改性沥青</w:t>
            </w:r>
          </w:p>
        </w:tc>
        <w:tc>
          <w:tcPr>
            <w:tcW w:w="2658" w:type="dxa"/>
            <w:tcBorders>
              <w:top w:val="single" w:color="auto" w:sz="8" w:space="0"/>
              <w:bottom w:val="single" w:color="auto" w:sz="8" w:space="0"/>
            </w:tcBorders>
            <w:shd w:val="clear" w:color="auto" w:fill="auto"/>
            <w:vAlign w:val="center"/>
          </w:tcPr>
          <w:p w14:paraId="52AF7B2A">
            <w:pPr>
              <w:adjustRightInd/>
              <w:spacing w:line="240" w:lineRule="auto"/>
              <w:jc w:val="center"/>
              <w:rPr>
                <w:rFonts w:ascii="宋体" w:hAnsi="宋体"/>
                <w:sz w:val="18"/>
                <w:szCs w:val="18"/>
              </w:rPr>
            </w:pPr>
            <w:r>
              <w:rPr>
                <w:rFonts w:hint="eastAsia" w:ascii="宋体" w:hAnsi="宋体"/>
                <w:sz w:val="18"/>
                <w:szCs w:val="18"/>
              </w:rPr>
              <w:t>橡胶胶粉改性沥青、多级沥青</w:t>
            </w:r>
          </w:p>
        </w:tc>
      </w:tr>
      <w:tr w14:paraId="5455F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tcBorders>
              <w:top w:val="single" w:color="auto" w:sz="8" w:space="0"/>
            </w:tcBorders>
            <w:shd w:val="clear" w:color="auto" w:fill="auto"/>
            <w:vAlign w:val="center"/>
          </w:tcPr>
          <w:p w14:paraId="085E6625">
            <w:pPr>
              <w:adjustRightInd/>
              <w:spacing w:line="240" w:lineRule="auto"/>
              <w:jc w:val="center"/>
              <w:rPr>
                <w:rFonts w:ascii="宋体" w:hAnsi="宋体"/>
                <w:sz w:val="18"/>
                <w:szCs w:val="18"/>
              </w:rPr>
            </w:pPr>
            <w:r>
              <w:rPr>
                <w:rFonts w:hint="eastAsia" w:ascii="宋体" w:hAnsi="宋体"/>
                <w:sz w:val="18"/>
                <w:szCs w:val="18"/>
              </w:rPr>
              <w:t>沥青加热温度</w:t>
            </w:r>
          </w:p>
        </w:tc>
        <w:tc>
          <w:tcPr>
            <w:tcW w:w="826" w:type="dxa"/>
            <w:vMerge w:val="restart"/>
            <w:tcBorders>
              <w:top w:val="single" w:color="auto" w:sz="8" w:space="0"/>
            </w:tcBorders>
            <w:vAlign w:val="center"/>
          </w:tcPr>
          <w:p w14:paraId="28814726">
            <w:pPr>
              <w:adjustRightInd/>
              <w:spacing w:line="240" w:lineRule="auto"/>
              <w:jc w:val="center"/>
              <w:rPr>
                <w:rFonts w:ascii="宋体" w:hAnsi="宋体"/>
                <w:sz w:val="18"/>
                <w:szCs w:val="18"/>
              </w:rPr>
            </w:pPr>
            <w:r>
              <w:rPr>
                <w:rFonts w:hint="eastAsia" w:ascii="宋体" w:hAnsi="宋体"/>
                <w:sz w:val="18"/>
                <w:szCs w:val="18"/>
              </w:rPr>
              <w:t>℃</w:t>
            </w:r>
          </w:p>
        </w:tc>
        <w:tc>
          <w:tcPr>
            <w:tcW w:w="1985" w:type="dxa"/>
            <w:tcBorders>
              <w:top w:val="single" w:color="auto" w:sz="8" w:space="0"/>
            </w:tcBorders>
            <w:shd w:val="clear" w:color="auto" w:fill="auto"/>
            <w:vAlign w:val="center"/>
          </w:tcPr>
          <w:p w14:paraId="02934F01">
            <w:pPr>
              <w:adjustRightInd/>
              <w:spacing w:line="240" w:lineRule="auto"/>
              <w:jc w:val="center"/>
              <w:rPr>
                <w:rFonts w:ascii="宋体" w:hAnsi="宋体"/>
                <w:sz w:val="18"/>
                <w:szCs w:val="18"/>
              </w:rPr>
            </w:pPr>
            <w:r>
              <w:rPr>
                <w:rFonts w:ascii="宋体" w:hAnsi="宋体"/>
                <w:sz w:val="18"/>
                <w:szCs w:val="18"/>
              </w:rPr>
              <w:t>150</w:t>
            </w:r>
            <w:r>
              <w:rPr>
                <w:rFonts w:hint="eastAsia" w:ascii="宋体" w:hAnsi="宋体"/>
                <w:sz w:val="18"/>
                <w:szCs w:val="18"/>
              </w:rPr>
              <w:t>～</w:t>
            </w:r>
            <w:r>
              <w:rPr>
                <w:rFonts w:ascii="宋体" w:hAnsi="宋体"/>
                <w:sz w:val="18"/>
                <w:szCs w:val="18"/>
              </w:rPr>
              <w:t>160</w:t>
            </w:r>
          </w:p>
        </w:tc>
        <w:tc>
          <w:tcPr>
            <w:tcW w:w="1842" w:type="dxa"/>
            <w:tcBorders>
              <w:top w:val="single" w:color="auto" w:sz="8" w:space="0"/>
            </w:tcBorders>
            <w:vAlign w:val="center"/>
          </w:tcPr>
          <w:p w14:paraId="684A96CD">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65</w:t>
            </w:r>
            <w:r>
              <w:rPr>
                <w:rFonts w:hint="eastAsia" w:ascii="宋体" w:hAnsi="宋体"/>
                <w:sz w:val="18"/>
                <w:szCs w:val="18"/>
              </w:rPr>
              <w:t>～</w:t>
            </w:r>
            <w:r>
              <w:rPr>
                <w:rFonts w:ascii="宋体" w:hAnsi="宋体"/>
                <w:sz w:val="18"/>
                <w:szCs w:val="18"/>
              </w:rPr>
              <w:t>175</w:t>
            </w:r>
          </w:p>
        </w:tc>
        <w:tc>
          <w:tcPr>
            <w:tcW w:w="2658" w:type="dxa"/>
            <w:tcBorders>
              <w:top w:val="single" w:color="auto" w:sz="8" w:space="0"/>
            </w:tcBorders>
            <w:shd w:val="clear" w:color="auto" w:fill="auto"/>
            <w:vAlign w:val="center"/>
          </w:tcPr>
          <w:p w14:paraId="10883495">
            <w:pPr>
              <w:adjustRightInd/>
              <w:spacing w:line="240" w:lineRule="auto"/>
              <w:jc w:val="center"/>
              <w:rPr>
                <w:rFonts w:ascii="宋体" w:hAnsi="宋体"/>
                <w:sz w:val="18"/>
                <w:szCs w:val="18"/>
              </w:rPr>
            </w:pPr>
            <w:r>
              <w:rPr>
                <w:rFonts w:hint="eastAsia" w:ascii="宋体" w:hAnsi="宋体"/>
                <w:sz w:val="18"/>
                <w:szCs w:val="18"/>
              </w:rPr>
              <w:t>175～190</w:t>
            </w:r>
          </w:p>
        </w:tc>
      </w:tr>
      <w:tr w14:paraId="4CE01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00F71712">
            <w:pPr>
              <w:adjustRightInd/>
              <w:spacing w:line="240" w:lineRule="auto"/>
              <w:jc w:val="center"/>
              <w:rPr>
                <w:rFonts w:ascii="宋体" w:hAnsi="宋体"/>
                <w:sz w:val="18"/>
                <w:szCs w:val="18"/>
              </w:rPr>
            </w:pPr>
            <w:r>
              <w:rPr>
                <w:rFonts w:hint="eastAsia" w:ascii="宋体" w:hAnsi="宋体"/>
                <w:sz w:val="18"/>
                <w:szCs w:val="18"/>
              </w:rPr>
              <w:t>矿料加热温度</w:t>
            </w:r>
          </w:p>
        </w:tc>
        <w:tc>
          <w:tcPr>
            <w:tcW w:w="826" w:type="dxa"/>
            <w:vMerge w:val="continue"/>
            <w:vAlign w:val="center"/>
          </w:tcPr>
          <w:p w14:paraId="223CABBD">
            <w:pPr>
              <w:adjustRightInd/>
              <w:spacing w:line="240" w:lineRule="auto"/>
              <w:jc w:val="center"/>
              <w:rPr>
                <w:rFonts w:ascii="宋体" w:hAnsi="宋体"/>
                <w:sz w:val="18"/>
                <w:szCs w:val="18"/>
              </w:rPr>
            </w:pPr>
          </w:p>
        </w:tc>
        <w:tc>
          <w:tcPr>
            <w:tcW w:w="1985" w:type="dxa"/>
            <w:shd w:val="clear" w:color="auto" w:fill="auto"/>
            <w:vAlign w:val="center"/>
          </w:tcPr>
          <w:p w14:paraId="0C952CDC">
            <w:pPr>
              <w:adjustRightInd/>
              <w:spacing w:line="240" w:lineRule="auto"/>
              <w:jc w:val="center"/>
              <w:rPr>
                <w:rFonts w:ascii="宋体" w:hAnsi="宋体"/>
                <w:sz w:val="18"/>
                <w:szCs w:val="18"/>
              </w:rPr>
            </w:pPr>
            <w:r>
              <w:rPr>
                <w:rFonts w:hint="eastAsia" w:ascii="宋体" w:hAnsi="宋体"/>
                <w:sz w:val="18"/>
                <w:szCs w:val="18"/>
              </w:rPr>
              <w:t>155～</w:t>
            </w:r>
            <w:r>
              <w:rPr>
                <w:rFonts w:ascii="宋体" w:hAnsi="宋体"/>
                <w:sz w:val="18"/>
                <w:szCs w:val="18"/>
              </w:rPr>
              <w:t>1</w:t>
            </w:r>
            <w:r>
              <w:rPr>
                <w:rFonts w:hint="eastAsia" w:ascii="宋体" w:hAnsi="宋体"/>
                <w:sz w:val="18"/>
                <w:szCs w:val="18"/>
              </w:rPr>
              <w:t>65</w:t>
            </w:r>
          </w:p>
        </w:tc>
        <w:tc>
          <w:tcPr>
            <w:tcW w:w="1842" w:type="dxa"/>
            <w:vAlign w:val="center"/>
          </w:tcPr>
          <w:p w14:paraId="51E69F91">
            <w:pPr>
              <w:adjustRightInd/>
              <w:spacing w:line="240" w:lineRule="auto"/>
              <w:jc w:val="center"/>
              <w:rPr>
                <w:rFonts w:ascii="宋体" w:hAnsi="宋体"/>
                <w:sz w:val="18"/>
                <w:szCs w:val="18"/>
              </w:rPr>
            </w:pPr>
            <w:r>
              <w:rPr>
                <w:rFonts w:hint="eastAsia" w:ascii="宋体" w:hAnsi="宋体"/>
                <w:sz w:val="18"/>
                <w:szCs w:val="18"/>
              </w:rPr>
              <w:t>170～190</w:t>
            </w:r>
          </w:p>
        </w:tc>
        <w:tc>
          <w:tcPr>
            <w:tcW w:w="2658" w:type="dxa"/>
            <w:shd w:val="clear" w:color="auto" w:fill="auto"/>
            <w:vAlign w:val="center"/>
          </w:tcPr>
          <w:p w14:paraId="1784633E">
            <w:pPr>
              <w:adjustRightInd/>
              <w:spacing w:line="240" w:lineRule="auto"/>
              <w:jc w:val="center"/>
              <w:rPr>
                <w:rFonts w:ascii="宋体" w:hAnsi="宋体"/>
                <w:sz w:val="18"/>
                <w:szCs w:val="18"/>
              </w:rPr>
            </w:pPr>
            <w:r>
              <w:rPr>
                <w:rFonts w:hint="eastAsia" w:ascii="宋体" w:hAnsi="宋体"/>
                <w:sz w:val="18"/>
                <w:szCs w:val="18"/>
              </w:rPr>
              <w:t>175～190</w:t>
            </w:r>
          </w:p>
        </w:tc>
      </w:tr>
      <w:tr w14:paraId="6A57ED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4AE00378">
            <w:pPr>
              <w:adjustRightInd/>
              <w:spacing w:line="240" w:lineRule="auto"/>
              <w:jc w:val="center"/>
              <w:rPr>
                <w:rFonts w:ascii="宋体" w:hAnsi="宋体"/>
                <w:sz w:val="18"/>
                <w:szCs w:val="18"/>
              </w:rPr>
            </w:pPr>
            <w:r>
              <w:rPr>
                <w:rFonts w:hint="eastAsia" w:ascii="宋体" w:hAnsi="宋体"/>
                <w:sz w:val="18"/>
                <w:szCs w:val="18"/>
              </w:rPr>
              <w:t>混合料出厂温度</w:t>
            </w:r>
          </w:p>
        </w:tc>
        <w:tc>
          <w:tcPr>
            <w:tcW w:w="826" w:type="dxa"/>
            <w:vMerge w:val="continue"/>
            <w:vAlign w:val="center"/>
          </w:tcPr>
          <w:p w14:paraId="0EF1E3F8">
            <w:pPr>
              <w:adjustRightInd/>
              <w:spacing w:line="240" w:lineRule="auto"/>
              <w:jc w:val="center"/>
              <w:rPr>
                <w:rFonts w:ascii="宋体" w:hAnsi="宋体"/>
                <w:sz w:val="18"/>
                <w:szCs w:val="18"/>
              </w:rPr>
            </w:pPr>
          </w:p>
        </w:tc>
        <w:tc>
          <w:tcPr>
            <w:tcW w:w="1985" w:type="dxa"/>
            <w:shd w:val="clear" w:color="auto" w:fill="auto"/>
            <w:vAlign w:val="center"/>
          </w:tcPr>
          <w:p w14:paraId="70C35E9B">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50</w:t>
            </w:r>
            <w:r>
              <w:rPr>
                <w:rFonts w:hint="eastAsia" w:ascii="宋体" w:hAnsi="宋体"/>
                <w:sz w:val="18"/>
                <w:szCs w:val="18"/>
              </w:rPr>
              <w:t>～</w:t>
            </w:r>
            <w:r>
              <w:rPr>
                <w:rFonts w:ascii="宋体" w:hAnsi="宋体"/>
                <w:sz w:val="18"/>
                <w:szCs w:val="18"/>
              </w:rPr>
              <w:t>160</w:t>
            </w:r>
          </w:p>
        </w:tc>
        <w:tc>
          <w:tcPr>
            <w:tcW w:w="1842" w:type="dxa"/>
            <w:vAlign w:val="center"/>
          </w:tcPr>
          <w:p w14:paraId="12116562">
            <w:pPr>
              <w:adjustRightInd/>
              <w:spacing w:line="240" w:lineRule="auto"/>
              <w:jc w:val="center"/>
              <w:rPr>
                <w:rFonts w:ascii="宋体" w:hAnsi="宋体"/>
                <w:sz w:val="18"/>
                <w:szCs w:val="18"/>
              </w:rPr>
            </w:pPr>
            <w:r>
              <w:rPr>
                <w:rFonts w:hint="eastAsia" w:ascii="宋体" w:hAnsi="宋体"/>
                <w:sz w:val="18"/>
                <w:szCs w:val="18"/>
              </w:rPr>
              <w:t>165～</w:t>
            </w:r>
            <w:r>
              <w:rPr>
                <w:rFonts w:ascii="宋体" w:hAnsi="宋体"/>
                <w:sz w:val="18"/>
                <w:szCs w:val="18"/>
              </w:rPr>
              <w:t>185</w:t>
            </w:r>
          </w:p>
        </w:tc>
        <w:tc>
          <w:tcPr>
            <w:tcW w:w="2658" w:type="dxa"/>
            <w:shd w:val="clear" w:color="auto" w:fill="auto"/>
            <w:vAlign w:val="center"/>
          </w:tcPr>
          <w:p w14:paraId="406B2ADB">
            <w:pPr>
              <w:adjustRightInd/>
              <w:spacing w:line="240" w:lineRule="auto"/>
              <w:jc w:val="center"/>
              <w:rPr>
                <w:rFonts w:ascii="宋体" w:hAnsi="宋体"/>
                <w:sz w:val="18"/>
                <w:szCs w:val="18"/>
              </w:rPr>
            </w:pPr>
            <w:r>
              <w:rPr>
                <w:rFonts w:hint="eastAsia" w:ascii="宋体" w:hAnsi="宋体"/>
                <w:sz w:val="18"/>
                <w:szCs w:val="18"/>
              </w:rPr>
              <w:t>170～185</w:t>
            </w:r>
          </w:p>
        </w:tc>
      </w:tr>
      <w:tr w14:paraId="0E885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4A43D357">
            <w:pPr>
              <w:adjustRightInd/>
              <w:spacing w:line="240" w:lineRule="auto"/>
              <w:jc w:val="center"/>
              <w:rPr>
                <w:rFonts w:ascii="宋体" w:hAnsi="宋体"/>
                <w:sz w:val="18"/>
                <w:szCs w:val="18"/>
              </w:rPr>
            </w:pPr>
            <w:r>
              <w:rPr>
                <w:rFonts w:hint="eastAsia" w:ascii="宋体" w:hAnsi="宋体"/>
                <w:sz w:val="18"/>
                <w:szCs w:val="18"/>
              </w:rPr>
              <w:t>混合料废弃温度</w:t>
            </w:r>
          </w:p>
        </w:tc>
        <w:tc>
          <w:tcPr>
            <w:tcW w:w="826" w:type="dxa"/>
            <w:vMerge w:val="continue"/>
            <w:vAlign w:val="center"/>
          </w:tcPr>
          <w:p w14:paraId="270F7DA2">
            <w:pPr>
              <w:adjustRightInd/>
              <w:spacing w:line="240" w:lineRule="auto"/>
              <w:jc w:val="center"/>
              <w:rPr>
                <w:rFonts w:ascii="宋体" w:hAnsi="宋体"/>
                <w:sz w:val="18"/>
                <w:szCs w:val="18"/>
              </w:rPr>
            </w:pPr>
          </w:p>
        </w:tc>
        <w:tc>
          <w:tcPr>
            <w:tcW w:w="1985" w:type="dxa"/>
            <w:shd w:val="clear" w:color="auto" w:fill="auto"/>
            <w:vAlign w:val="center"/>
          </w:tcPr>
          <w:p w14:paraId="18537F34">
            <w:pPr>
              <w:adjustRightInd/>
              <w:spacing w:line="240" w:lineRule="auto"/>
              <w:jc w:val="center"/>
              <w:rPr>
                <w:rFonts w:ascii="宋体" w:hAnsi="宋体"/>
                <w:sz w:val="18"/>
                <w:szCs w:val="18"/>
              </w:rPr>
            </w:pPr>
            <w:r>
              <w:rPr>
                <w:rFonts w:hint="eastAsia" w:ascii="宋体" w:hAnsi="宋体"/>
                <w:sz w:val="18"/>
                <w:szCs w:val="18"/>
              </w:rPr>
              <w:t>≤140或≥170</w:t>
            </w:r>
          </w:p>
        </w:tc>
        <w:tc>
          <w:tcPr>
            <w:tcW w:w="1842" w:type="dxa"/>
            <w:vAlign w:val="center"/>
          </w:tcPr>
          <w:p w14:paraId="5643AF14">
            <w:pPr>
              <w:adjustRightInd/>
              <w:spacing w:line="240" w:lineRule="auto"/>
              <w:jc w:val="center"/>
              <w:rPr>
                <w:rFonts w:ascii="宋体" w:hAnsi="宋体"/>
                <w:sz w:val="18"/>
                <w:szCs w:val="18"/>
              </w:rPr>
            </w:pPr>
            <w:r>
              <w:rPr>
                <w:rFonts w:hint="eastAsia" w:ascii="宋体" w:hAnsi="宋体"/>
                <w:sz w:val="18"/>
                <w:szCs w:val="18"/>
              </w:rPr>
              <w:t>≤ 160或≥ 195</w:t>
            </w:r>
          </w:p>
        </w:tc>
        <w:tc>
          <w:tcPr>
            <w:tcW w:w="2658" w:type="dxa"/>
            <w:shd w:val="clear" w:color="auto" w:fill="auto"/>
            <w:vAlign w:val="center"/>
          </w:tcPr>
          <w:p w14:paraId="7DA06D26">
            <w:pPr>
              <w:adjustRightInd/>
              <w:spacing w:line="240" w:lineRule="auto"/>
              <w:jc w:val="center"/>
              <w:rPr>
                <w:rFonts w:ascii="宋体" w:hAnsi="宋体"/>
                <w:sz w:val="18"/>
                <w:szCs w:val="18"/>
              </w:rPr>
            </w:pPr>
            <w:r>
              <w:rPr>
                <w:rFonts w:hint="eastAsia" w:ascii="宋体" w:hAnsi="宋体"/>
                <w:sz w:val="18"/>
                <w:szCs w:val="18"/>
              </w:rPr>
              <w:t>≤160或≥195</w:t>
            </w:r>
          </w:p>
        </w:tc>
      </w:tr>
      <w:tr w14:paraId="453586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1F98278B">
            <w:pPr>
              <w:adjustRightInd/>
              <w:spacing w:line="240" w:lineRule="auto"/>
              <w:jc w:val="center"/>
              <w:rPr>
                <w:rFonts w:ascii="宋体" w:hAnsi="宋体"/>
                <w:sz w:val="18"/>
                <w:szCs w:val="18"/>
              </w:rPr>
            </w:pPr>
            <w:r>
              <w:rPr>
                <w:rFonts w:hint="eastAsia" w:ascii="宋体" w:hAnsi="宋体"/>
                <w:sz w:val="18"/>
                <w:szCs w:val="18"/>
              </w:rPr>
              <w:t>混合料贮存温度</w:t>
            </w:r>
          </w:p>
        </w:tc>
        <w:tc>
          <w:tcPr>
            <w:tcW w:w="826" w:type="dxa"/>
            <w:vMerge w:val="continue"/>
            <w:vAlign w:val="center"/>
          </w:tcPr>
          <w:p w14:paraId="2B31D2F8">
            <w:pPr>
              <w:adjustRightInd/>
              <w:spacing w:line="240" w:lineRule="auto"/>
              <w:jc w:val="center"/>
              <w:rPr>
                <w:rFonts w:ascii="宋体" w:hAnsi="宋体"/>
                <w:sz w:val="18"/>
                <w:szCs w:val="18"/>
              </w:rPr>
            </w:pPr>
          </w:p>
        </w:tc>
        <w:tc>
          <w:tcPr>
            <w:tcW w:w="6485" w:type="dxa"/>
            <w:gridSpan w:val="3"/>
            <w:vAlign w:val="center"/>
          </w:tcPr>
          <w:p w14:paraId="317734E8">
            <w:pPr>
              <w:adjustRightInd/>
              <w:spacing w:line="240" w:lineRule="auto"/>
              <w:jc w:val="center"/>
              <w:rPr>
                <w:rFonts w:ascii="宋体" w:hAnsi="宋体"/>
                <w:sz w:val="18"/>
                <w:szCs w:val="18"/>
              </w:rPr>
            </w:pPr>
            <w:r>
              <w:rPr>
                <w:rFonts w:hint="eastAsia" w:ascii="宋体" w:hAnsi="宋体"/>
                <w:sz w:val="18"/>
                <w:szCs w:val="18"/>
              </w:rPr>
              <w:t>贮存过程中温度降低不超过1</w:t>
            </w:r>
            <w:r>
              <w:rPr>
                <w:rFonts w:ascii="宋体" w:hAnsi="宋体"/>
                <w:sz w:val="18"/>
                <w:szCs w:val="18"/>
              </w:rPr>
              <w:t>0</w:t>
            </w:r>
          </w:p>
        </w:tc>
      </w:tr>
      <w:tr w14:paraId="09D2B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317D090C">
            <w:pPr>
              <w:adjustRightInd/>
              <w:spacing w:line="240" w:lineRule="auto"/>
              <w:jc w:val="center"/>
              <w:rPr>
                <w:rFonts w:ascii="宋体" w:hAnsi="宋体"/>
                <w:sz w:val="18"/>
                <w:szCs w:val="18"/>
              </w:rPr>
            </w:pPr>
            <w:r>
              <w:rPr>
                <w:rFonts w:hint="eastAsia" w:ascii="宋体" w:hAnsi="宋体"/>
                <w:sz w:val="18"/>
                <w:szCs w:val="18"/>
              </w:rPr>
              <w:t>运输到现场温度</w:t>
            </w:r>
          </w:p>
        </w:tc>
        <w:tc>
          <w:tcPr>
            <w:tcW w:w="826" w:type="dxa"/>
            <w:vMerge w:val="continue"/>
            <w:vAlign w:val="center"/>
          </w:tcPr>
          <w:p w14:paraId="24D0D58C">
            <w:pPr>
              <w:adjustRightInd/>
              <w:spacing w:line="240" w:lineRule="auto"/>
              <w:jc w:val="center"/>
              <w:rPr>
                <w:rFonts w:ascii="宋体" w:hAnsi="宋体"/>
                <w:sz w:val="18"/>
                <w:szCs w:val="18"/>
              </w:rPr>
            </w:pPr>
          </w:p>
        </w:tc>
        <w:tc>
          <w:tcPr>
            <w:tcW w:w="1985" w:type="dxa"/>
            <w:shd w:val="clear" w:color="auto" w:fill="auto"/>
            <w:vAlign w:val="center"/>
          </w:tcPr>
          <w:p w14:paraId="7A9D1A92">
            <w:pPr>
              <w:adjustRightInd/>
              <w:spacing w:line="240" w:lineRule="auto"/>
              <w:jc w:val="center"/>
              <w:rPr>
                <w:rFonts w:ascii="宋体" w:hAnsi="宋体"/>
                <w:sz w:val="18"/>
                <w:szCs w:val="18"/>
              </w:rPr>
            </w:pPr>
            <w:r>
              <w:rPr>
                <w:rFonts w:hint="eastAsia" w:ascii="宋体" w:hAnsi="宋体"/>
                <w:sz w:val="18"/>
                <w:szCs w:val="18"/>
              </w:rPr>
              <w:t>≥150</w:t>
            </w:r>
          </w:p>
        </w:tc>
        <w:tc>
          <w:tcPr>
            <w:tcW w:w="1842" w:type="dxa"/>
            <w:vAlign w:val="center"/>
          </w:tcPr>
          <w:p w14:paraId="78115483">
            <w:pPr>
              <w:adjustRightInd/>
              <w:spacing w:line="240" w:lineRule="auto"/>
              <w:jc w:val="center"/>
              <w:rPr>
                <w:rFonts w:ascii="宋体" w:hAnsi="宋体"/>
                <w:sz w:val="18"/>
                <w:szCs w:val="18"/>
              </w:rPr>
            </w:pPr>
            <w:r>
              <w:rPr>
                <w:rFonts w:hint="eastAsia" w:ascii="宋体" w:hAnsi="宋体"/>
                <w:sz w:val="18"/>
                <w:szCs w:val="18"/>
              </w:rPr>
              <w:t>≥ 165</w:t>
            </w:r>
          </w:p>
        </w:tc>
        <w:tc>
          <w:tcPr>
            <w:tcW w:w="2658" w:type="dxa"/>
            <w:shd w:val="clear" w:color="auto" w:fill="auto"/>
            <w:vAlign w:val="center"/>
          </w:tcPr>
          <w:p w14:paraId="4BE420FF">
            <w:pPr>
              <w:adjustRightInd/>
              <w:spacing w:line="240" w:lineRule="auto"/>
              <w:jc w:val="center"/>
              <w:rPr>
                <w:rFonts w:ascii="宋体" w:hAnsi="宋体"/>
                <w:sz w:val="18"/>
                <w:szCs w:val="18"/>
              </w:rPr>
            </w:pPr>
            <w:r>
              <w:rPr>
                <w:rFonts w:hint="eastAsia" w:ascii="宋体" w:hAnsi="宋体"/>
                <w:sz w:val="18"/>
                <w:szCs w:val="18"/>
              </w:rPr>
              <w:t>≥170</w:t>
            </w:r>
          </w:p>
        </w:tc>
      </w:tr>
      <w:tr w14:paraId="1E46C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73BA7F20">
            <w:pPr>
              <w:adjustRightInd/>
              <w:spacing w:line="240" w:lineRule="auto"/>
              <w:jc w:val="center"/>
              <w:rPr>
                <w:rFonts w:ascii="宋体" w:hAnsi="宋体"/>
                <w:sz w:val="18"/>
                <w:szCs w:val="18"/>
              </w:rPr>
            </w:pPr>
            <w:r>
              <w:rPr>
                <w:rFonts w:hint="eastAsia" w:ascii="宋体" w:hAnsi="宋体"/>
                <w:sz w:val="18"/>
                <w:szCs w:val="18"/>
              </w:rPr>
              <w:t>摊铺温度</w:t>
            </w:r>
          </w:p>
        </w:tc>
        <w:tc>
          <w:tcPr>
            <w:tcW w:w="826" w:type="dxa"/>
            <w:vMerge w:val="continue"/>
            <w:vAlign w:val="center"/>
          </w:tcPr>
          <w:p w14:paraId="54ABED7A">
            <w:pPr>
              <w:adjustRightInd/>
              <w:spacing w:line="240" w:lineRule="auto"/>
              <w:jc w:val="center"/>
              <w:rPr>
                <w:rFonts w:ascii="宋体" w:hAnsi="宋体"/>
                <w:sz w:val="18"/>
                <w:szCs w:val="18"/>
              </w:rPr>
            </w:pPr>
          </w:p>
        </w:tc>
        <w:tc>
          <w:tcPr>
            <w:tcW w:w="1985" w:type="dxa"/>
            <w:shd w:val="clear" w:color="auto" w:fill="auto"/>
            <w:vAlign w:val="center"/>
          </w:tcPr>
          <w:p w14:paraId="62C24F17">
            <w:pPr>
              <w:adjustRightInd/>
              <w:spacing w:line="240" w:lineRule="auto"/>
              <w:jc w:val="center"/>
              <w:rPr>
                <w:rFonts w:ascii="宋体" w:hAnsi="宋体"/>
                <w:sz w:val="18"/>
                <w:szCs w:val="18"/>
              </w:rPr>
            </w:pPr>
            <w:r>
              <w:rPr>
                <w:rFonts w:hint="eastAsia" w:ascii="宋体" w:hAnsi="宋体"/>
                <w:sz w:val="18"/>
                <w:szCs w:val="18"/>
              </w:rPr>
              <w:t>≥145</w:t>
            </w:r>
          </w:p>
        </w:tc>
        <w:tc>
          <w:tcPr>
            <w:tcW w:w="1842" w:type="dxa"/>
            <w:vAlign w:val="center"/>
          </w:tcPr>
          <w:p w14:paraId="5361032A">
            <w:pPr>
              <w:adjustRightInd/>
              <w:spacing w:line="240" w:lineRule="auto"/>
              <w:jc w:val="center"/>
              <w:rPr>
                <w:rFonts w:ascii="宋体" w:hAnsi="宋体"/>
                <w:sz w:val="18"/>
                <w:szCs w:val="18"/>
              </w:rPr>
            </w:pPr>
            <w:r>
              <w:rPr>
                <w:rFonts w:hint="eastAsia" w:ascii="宋体" w:hAnsi="宋体"/>
                <w:sz w:val="18"/>
                <w:szCs w:val="18"/>
              </w:rPr>
              <w:t>≥160</w:t>
            </w:r>
          </w:p>
        </w:tc>
        <w:tc>
          <w:tcPr>
            <w:tcW w:w="2658" w:type="dxa"/>
            <w:shd w:val="clear" w:color="auto" w:fill="auto"/>
            <w:vAlign w:val="center"/>
          </w:tcPr>
          <w:p w14:paraId="4BC34BFB">
            <w:pPr>
              <w:adjustRightInd/>
              <w:spacing w:line="240" w:lineRule="auto"/>
              <w:jc w:val="center"/>
              <w:rPr>
                <w:rFonts w:ascii="宋体" w:hAnsi="宋体"/>
                <w:sz w:val="18"/>
                <w:szCs w:val="18"/>
              </w:rPr>
            </w:pPr>
            <w:r>
              <w:rPr>
                <w:rFonts w:hint="eastAsia" w:ascii="宋体" w:hAnsi="宋体"/>
                <w:sz w:val="18"/>
                <w:szCs w:val="18"/>
              </w:rPr>
              <w:t>≥165</w:t>
            </w:r>
          </w:p>
        </w:tc>
      </w:tr>
      <w:tr w14:paraId="0700C5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1B73E253">
            <w:pPr>
              <w:adjustRightInd/>
              <w:spacing w:line="240" w:lineRule="auto"/>
              <w:jc w:val="center"/>
              <w:rPr>
                <w:rFonts w:ascii="宋体" w:hAnsi="宋体"/>
                <w:sz w:val="18"/>
                <w:szCs w:val="18"/>
              </w:rPr>
            </w:pPr>
            <w:r>
              <w:rPr>
                <w:rFonts w:hint="eastAsia" w:ascii="宋体" w:hAnsi="宋体"/>
                <w:sz w:val="18"/>
                <w:szCs w:val="18"/>
              </w:rPr>
              <w:t>初压温度</w:t>
            </w:r>
          </w:p>
        </w:tc>
        <w:tc>
          <w:tcPr>
            <w:tcW w:w="826" w:type="dxa"/>
            <w:vMerge w:val="continue"/>
            <w:vAlign w:val="center"/>
          </w:tcPr>
          <w:p w14:paraId="47BE5B13">
            <w:pPr>
              <w:adjustRightInd/>
              <w:spacing w:line="240" w:lineRule="auto"/>
              <w:jc w:val="center"/>
              <w:rPr>
                <w:rFonts w:ascii="宋体" w:hAnsi="宋体"/>
                <w:sz w:val="18"/>
                <w:szCs w:val="18"/>
              </w:rPr>
            </w:pPr>
          </w:p>
        </w:tc>
        <w:tc>
          <w:tcPr>
            <w:tcW w:w="1985" w:type="dxa"/>
            <w:shd w:val="clear" w:color="auto" w:fill="auto"/>
            <w:vAlign w:val="center"/>
          </w:tcPr>
          <w:p w14:paraId="6CB8C855">
            <w:pPr>
              <w:adjustRightInd/>
              <w:spacing w:line="240" w:lineRule="auto"/>
              <w:jc w:val="center"/>
              <w:rPr>
                <w:rFonts w:ascii="宋体" w:hAnsi="宋体"/>
                <w:sz w:val="18"/>
                <w:szCs w:val="18"/>
              </w:rPr>
            </w:pPr>
            <w:r>
              <w:rPr>
                <w:rFonts w:hint="eastAsia" w:ascii="宋体" w:hAnsi="宋体"/>
                <w:sz w:val="18"/>
                <w:szCs w:val="18"/>
              </w:rPr>
              <w:t>≥140</w:t>
            </w:r>
          </w:p>
        </w:tc>
        <w:tc>
          <w:tcPr>
            <w:tcW w:w="1842" w:type="dxa"/>
            <w:vAlign w:val="center"/>
          </w:tcPr>
          <w:p w14:paraId="07EA5C52">
            <w:pPr>
              <w:adjustRightInd/>
              <w:spacing w:line="240" w:lineRule="auto"/>
              <w:jc w:val="center"/>
              <w:rPr>
                <w:rFonts w:ascii="宋体" w:hAnsi="宋体"/>
                <w:sz w:val="18"/>
                <w:szCs w:val="18"/>
              </w:rPr>
            </w:pPr>
            <w:r>
              <w:rPr>
                <w:rFonts w:hint="eastAsia" w:ascii="宋体" w:hAnsi="宋体"/>
                <w:sz w:val="18"/>
                <w:szCs w:val="18"/>
              </w:rPr>
              <w:t>≥155</w:t>
            </w:r>
          </w:p>
        </w:tc>
        <w:tc>
          <w:tcPr>
            <w:tcW w:w="2658" w:type="dxa"/>
            <w:shd w:val="clear" w:color="auto" w:fill="auto"/>
            <w:vAlign w:val="center"/>
          </w:tcPr>
          <w:p w14:paraId="44E45795">
            <w:pPr>
              <w:adjustRightInd/>
              <w:spacing w:line="240" w:lineRule="auto"/>
              <w:jc w:val="center"/>
              <w:rPr>
                <w:rFonts w:ascii="宋体" w:hAnsi="宋体"/>
                <w:sz w:val="18"/>
                <w:szCs w:val="18"/>
              </w:rPr>
            </w:pPr>
            <w:r>
              <w:rPr>
                <w:rFonts w:hint="eastAsia" w:ascii="宋体" w:hAnsi="宋体"/>
                <w:sz w:val="18"/>
                <w:szCs w:val="18"/>
              </w:rPr>
              <w:t>≥160</w:t>
            </w:r>
          </w:p>
        </w:tc>
      </w:tr>
      <w:tr w14:paraId="50B56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43B4C911">
            <w:pPr>
              <w:adjustRightInd/>
              <w:spacing w:line="240" w:lineRule="auto"/>
              <w:jc w:val="center"/>
              <w:rPr>
                <w:rFonts w:ascii="宋体" w:hAnsi="宋体"/>
                <w:sz w:val="18"/>
                <w:szCs w:val="18"/>
              </w:rPr>
            </w:pPr>
            <w:r>
              <w:rPr>
                <w:rFonts w:hint="eastAsia" w:ascii="宋体" w:hAnsi="宋体"/>
                <w:sz w:val="18"/>
                <w:szCs w:val="18"/>
              </w:rPr>
              <w:t>终压温度</w:t>
            </w:r>
          </w:p>
        </w:tc>
        <w:tc>
          <w:tcPr>
            <w:tcW w:w="826" w:type="dxa"/>
            <w:vMerge w:val="continue"/>
            <w:vAlign w:val="center"/>
          </w:tcPr>
          <w:p w14:paraId="09927A14">
            <w:pPr>
              <w:adjustRightInd/>
              <w:spacing w:line="240" w:lineRule="auto"/>
              <w:jc w:val="center"/>
              <w:rPr>
                <w:rFonts w:ascii="宋体" w:hAnsi="宋体"/>
                <w:sz w:val="18"/>
                <w:szCs w:val="18"/>
              </w:rPr>
            </w:pPr>
          </w:p>
        </w:tc>
        <w:tc>
          <w:tcPr>
            <w:tcW w:w="1985" w:type="dxa"/>
            <w:shd w:val="clear" w:color="auto" w:fill="auto"/>
            <w:vAlign w:val="center"/>
          </w:tcPr>
          <w:p w14:paraId="53621021">
            <w:pPr>
              <w:adjustRightInd/>
              <w:spacing w:line="240" w:lineRule="auto"/>
              <w:jc w:val="center"/>
              <w:rPr>
                <w:rFonts w:ascii="宋体" w:hAnsi="宋体"/>
                <w:sz w:val="18"/>
                <w:szCs w:val="18"/>
              </w:rPr>
            </w:pPr>
            <w:r>
              <w:rPr>
                <w:rFonts w:hint="eastAsia" w:ascii="宋体" w:hAnsi="宋体"/>
                <w:sz w:val="18"/>
                <w:szCs w:val="18"/>
              </w:rPr>
              <w:t>≥80</w:t>
            </w:r>
          </w:p>
        </w:tc>
        <w:tc>
          <w:tcPr>
            <w:tcW w:w="1842" w:type="dxa"/>
            <w:vAlign w:val="center"/>
          </w:tcPr>
          <w:p w14:paraId="7411AB09">
            <w:pPr>
              <w:adjustRightInd/>
              <w:spacing w:line="240" w:lineRule="auto"/>
              <w:jc w:val="center"/>
              <w:rPr>
                <w:rFonts w:ascii="宋体" w:hAnsi="宋体"/>
                <w:sz w:val="18"/>
                <w:szCs w:val="18"/>
              </w:rPr>
            </w:pPr>
            <w:r>
              <w:rPr>
                <w:rFonts w:hint="eastAsia" w:ascii="宋体" w:hAnsi="宋体"/>
                <w:sz w:val="18"/>
                <w:szCs w:val="18"/>
              </w:rPr>
              <w:t>≥110</w:t>
            </w:r>
          </w:p>
        </w:tc>
        <w:tc>
          <w:tcPr>
            <w:tcW w:w="2658" w:type="dxa"/>
            <w:shd w:val="clear" w:color="auto" w:fill="auto"/>
            <w:vAlign w:val="center"/>
          </w:tcPr>
          <w:p w14:paraId="64DB6B6F">
            <w:pPr>
              <w:adjustRightInd/>
              <w:spacing w:line="240" w:lineRule="auto"/>
              <w:jc w:val="center"/>
              <w:rPr>
                <w:rFonts w:ascii="宋体" w:hAnsi="宋体"/>
                <w:sz w:val="18"/>
                <w:szCs w:val="18"/>
              </w:rPr>
            </w:pPr>
            <w:r>
              <w:rPr>
                <w:rFonts w:hint="eastAsia" w:ascii="宋体" w:hAnsi="宋体"/>
                <w:sz w:val="18"/>
                <w:szCs w:val="18"/>
              </w:rPr>
              <w:t>≥110</w:t>
            </w:r>
          </w:p>
        </w:tc>
      </w:tr>
      <w:tr w14:paraId="4A987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009" w:type="dxa"/>
            <w:shd w:val="clear" w:color="auto" w:fill="auto"/>
            <w:vAlign w:val="center"/>
          </w:tcPr>
          <w:p w14:paraId="59855FC6">
            <w:pPr>
              <w:adjustRightInd/>
              <w:spacing w:line="240" w:lineRule="auto"/>
              <w:jc w:val="center"/>
              <w:rPr>
                <w:rFonts w:ascii="宋体" w:hAnsi="宋体"/>
                <w:sz w:val="18"/>
                <w:szCs w:val="18"/>
              </w:rPr>
            </w:pPr>
            <w:r>
              <w:rPr>
                <w:rFonts w:hint="eastAsia" w:ascii="宋体" w:hAnsi="宋体"/>
                <w:sz w:val="18"/>
                <w:szCs w:val="18"/>
              </w:rPr>
              <w:t>开放交通温度</w:t>
            </w:r>
          </w:p>
        </w:tc>
        <w:tc>
          <w:tcPr>
            <w:tcW w:w="826" w:type="dxa"/>
            <w:vMerge w:val="continue"/>
            <w:vAlign w:val="center"/>
          </w:tcPr>
          <w:p w14:paraId="6CB80492">
            <w:pPr>
              <w:adjustRightInd/>
              <w:spacing w:line="240" w:lineRule="auto"/>
              <w:jc w:val="center"/>
              <w:rPr>
                <w:rFonts w:ascii="宋体" w:hAnsi="宋体"/>
                <w:sz w:val="18"/>
                <w:szCs w:val="18"/>
              </w:rPr>
            </w:pPr>
          </w:p>
        </w:tc>
        <w:tc>
          <w:tcPr>
            <w:tcW w:w="1985" w:type="dxa"/>
            <w:shd w:val="clear" w:color="auto" w:fill="auto"/>
            <w:vAlign w:val="center"/>
          </w:tcPr>
          <w:p w14:paraId="6A94467A">
            <w:pPr>
              <w:adjustRightInd/>
              <w:spacing w:line="240" w:lineRule="auto"/>
              <w:jc w:val="center"/>
              <w:rPr>
                <w:rFonts w:ascii="宋体" w:hAnsi="宋体"/>
                <w:sz w:val="18"/>
                <w:szCs w:val="18"/>
              </w:rPr>
            </w:pPr>
            <w:r>
              <w:rPr>
                <w:rFonts w:hint="eastAsia" w:ascii="宋体" w:hAnsi="宋体"/>
                <w:sz w:val="18"/>
                <w:szCs w:val="18"/>
              </w:rPr>
              <w:t>≤50</w:t>
            </w:r>
          </w:p>
        </w:tc>
        <w:tc>
          <w:tcPr>
            <w:tcW w:w="1842" w:type="dxa"/>
            <w:vAlign w:val="center"/>
          </w:tcPr>
          <w:p w14:paraId="5560B6D2">
            <w:pPr>
              <w:adjustRightInd/>
              <w:spacing w:line="240" w:lineRule="auto"/>
              <w:jc w:val="center"/>
              <w:rPr>
                <w:rFonts w:ascii="宋体" w:hAnsi="宋体"/>
                <w:sz w:val="18"/>
                <w:szCs w:val="18"/>
              </w:rPr>
            </w:pPr>
            <w:r>
              <w:rPr>
                <w:rFonts w:hint="eastAsia" w:ascii="宋体" w:hAnsi="宋体"/>
                <w:sz w:val="18"/>
                <w:szCs w:val="18"/>
              </w:rPr>
              <w:t>≤50</w:t>
            </w:r>
          </w:p>
        </w:tc>
        <w:tc>
          <w:tcPr>
            <w:tcW w:w="2658" w:type="dxa"/>
            <w:shd w:val="clear" w:color="auto" w:fill="auto"/>
            <w:vAlign w:val="center"/>
          </w:tcPr>
          <w:p w14:paraId="7A5283D5">
            <w:pPr>
              <w:adjustRightInd/>
              <w:spacing w:line="240" w:lineRule="auto"/>
              <w:jc w:val="center"/>
              <w:rPr>
                <w:rFonts w:ascii="宋体" w:hAnsi="宋体"/>
                <w:sz w:val="18"/>
                <w:szCs w:val="18"/>
              </w:rPr>
            </w:pPr>
            <w:r>
              <w:rPr>
                <w:rFonts w:hint="eastAsia" w:ascii="宋体" w:hAnsi="宋体"/>
                <w:sz w:val="18"/>
                <w:szCs w:val="18"/>
              </w:rPr>
              <w:t>≤50</w:t>
            </w:r>
          </w:p>
        </w:tc>
      </w:tr>
    </w:tbl>
    <w:p w14:paraId="554CBD1A">
      <w:pPr>
        <w:pStyle w:val="107"/>
        <w:spacing w:before="156" w:after="156"/>
      </w:pPr>
      <w:bookmarkStart w:id="170" w:name="_Toc195013017"/>
      <w:bookmarkStart w:id="171" w:name="_Toc169879613"/>
      <w:bookmarkStart w:id="172" w:name="_Toc198815904"/>
      <w:bookmarkStart w:id="173" w:name="_Toc198816987"/>
      <w:bookmarkStart w:id="174" w:name="_Toc199251483"/>
      <w:bookmarkStart w:id="175" w:name="_Toc198802232"/>
      <w:r>
        <w:rPr>
          <w:rFonts w:hint="eastAsia"/>
        </w:rPr>
        <w:t>拌和</w:t>
      </w:r>
      <w:bookmarkEnd w:id="170"/>
      <w:bookmarkEnd w:id="171"/>
      <w:bookmarkEnd w:id="172"/>
      <w:bookmarkEnd w:id="173"/>
      <w:bookmarkEnd w:id="174"/>
      <w:bookmarkEnd w:id="175"/>
    </w:p>
    <w:p w14:paraId="7BFF7971">
      <w:pPr>
        <w:pStyle w:val="167"/>
        <w:ind w:left="0"/>
      </w:pPr>
      <w:r>
        <w:rPr>
          <w:rFonts w:hint="eastAsia"/>
        </w:rPr>
        <w:t>沥青混合料拌和机应配置有自动温度控制系统和精确计量系统，其中温度精度与计量精度应符合表9规定。</w:t>
      </w:r>
    </w:p>
    <w:p w14:paraId="12E2CC94">
      <w:pPr>
        <w:pStyle w:val="114"/>
        <w:spacing w:before="156" w:after="156"/>
      </w:pPr>
      <w:r>
        <w:rPr>
          <w:rFonts w:hint="eastAsia"/>
        </w:rPr>
        <w:t>沥青拌和机温度精度与称量精度要求</w:t>
      </w:r>
    </w:p>
    <w:tbl>
      <w:tblPr>
        <w:tblStyle w:val="27"/>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4690"/>
      </w:tblGrid>
      <w:tr w14:paraId="0094E2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500" w:type="pct"/>
            <w:tcBorders>
              <w:top w:val="single" w:color="auto" w:sz="8" w:space="0"/>
              <w:bottom w:val="single" w:color="auto" w:sz="8" w:space="0"/>
            </w:tcBorders>
            <w:shd w:val="clear" w:color="auto" w:fill="auto"/>
            <w:vAlign w:val="center"/>
          </w:tcPr>
          <w:p w14:paraId="21CF0C3B">
            <w:pPr>
              <w:adjustRightInd/>
              <w:spacing w:line="240" w:lineRule="auto"/>
              <w:jc w:val="center"/>
              <w:rPr>
                <w:rFonts w:ascii="宋体" w:hAnsi="宋体"/>
                <w:sz w:val="18"/>
                <w:szCs w:val="18"/>
              </w:rPr>
            </w:pPr>
            <w:r>
              <w:rPr>
                <w:rFonts w:hint="eastAsia" w:ascii="宋体" w:hAnsi="宋体"/>
                <w:sz w:val="18"/>
                <w:szCs w:val="18"/>
              </w:rPr>
              <w:t>性能指标</w:t>
            </w:r>
          </w:p>
        </w:tc>
        <w:tc>
          <w:tcPr>
            <w:tcW w:w="2500" w:type="pct"/>
            <w:tcBorders>
              <w:top w:val="single" w:color="auto" w:sz="8" w:space="0"/>
              <w:bottom w:val="single" w:color="auto" w:sz="8" w:space="0"/>
            </w:tcBorders>
            <w:shd w:val="clear" w:color="auto" w:fill="auto"/>
            <w:vAlign w:val="center"/>
          </w:tcPr>
          <w:p w14:paraId="1F14EB55">
            <w:pPr>
              <w:adjustRightInd/>
              <w:spacing w:line="240" w:lineRule="auto"/>
              <w:jc w:val="center"/>
              <w:rPr>
                <w:rFonts w:ascii="宋体" w:hAnsi="宋体"/>
                <w:sz w:val="18"/>
                <w:szCs w:val="18"/>
              </w:rPr>
            </w:pPr>
            <w:r>
              <w:rPr>
                <w:rFonts w:hint="eastAsia" w:ascii="宋体" w:hAnsi="宋体"/>
                <w:sz w:val="18"/>
                <w:szCs w:val="18"/>
              </w:rPr>
              <w:t>允许偏差</w:t>
            </w:r>
          </w:p>
        </w:tc>
      </w:tr>
      <w:tr w14:paraId="19FE40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tcBorders>
              <w:top w:val="single" w:color="auto" w:sz="8" w:space="0"/>
            </w:tcBorders>
            <w:shd w:val="clear" w:color="auto" w:fill="auto"/>
            <w:vAlign w:val="center"/>
          </w:tcPr>
          <w:p w14:paraId="6AC9465D">
            <w:pPr>
              <w:adjustRightInd/>
              <w:spacing w:line="240" w:lineRule="auto"/>
              <w:jc w:val="center"/>
              <w:rPr>
                <w:rFonts w:ascii="宋体" w:hAnsi="宋体"/>
                <w:sz w:val="18"/>
                <w:szCs w:val="18"/>
              </w:rPr>
            </w:pPr>
            <w:r>
              <w:rPr>
                <w:rFonts w:hint="eastAsia" w:ascii="宋体" w:hAnsi="宋体"/>
                <w:sz w:val="18"/>
                <w:szCs w:val="18"/>
              </w:rPr>
              <w:t>热骨料温度稳定精度</w:t>
            </w:r>
          </w:p>
        </w:tc>
        <w:tc>
          <w:tcPr>
            <w:tcW w:w="2500" w:type="pct"/>
            <w:tcBorders>
              <w:top w:val="single" w:color="auto" w:sz="8" w:space="0"/>
            </w:tcBorders>
            <w:shd w:val="clear" w:color="auto" w:fill="auto"/>
            <w:vAlign w:val="center"/>
          </w:tcPr>
          <w:p w14:paraId="469D421E">
            <w:pPr>
              <w:adjustRightInd/>
              <w:spacing w:line="240" w:lineRule="auto"/>
              <w:jc w:val="center"/>
              <w:rPr>
                <w:rFonts w:ascii="宋体" w:hAnsi="宋体"/>
                <w:sz w:val="18"/>
                <w:szCs w:val="18"/>
              </w:rPr>
            </w:pPr>
            <w:r>
              <w:rPr>
                <w:rFonts w:hint="eastAsia" w:ascii="宋体" w:hAnsi="宋体"/>
                <w:sz w:val="18"/>
                <w:szCs w:val="18"/>
              </w:rPr>
              <w:t>±9</w:t>
            </w:r>
            <w:r>
              <w:rPr>
                <w:rFonts w:ascii="宋体" w:hAnsi="宋体"/>
                <w:sz w:val="18"/>
                <w:szCs w:val="18"/>
              </w:rPr>
              <w:t> </w:t>
            </w:r>
            <w:r>
              <w:rPr>
                <w:rFonts w:hint="eastAsia" w:ascii="宋体" w:hAnsi="宋体"/>
                <w:sz w:val="18"/>
                <w:szCs w:val="18"/>
              </w:rPr>
              <w:t>℃</w:t>
            </w:r>
          </w:p>
        </w:tc>
      </w:tr>
      <w:tr w14:paraId="6B3A6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49F5CE25">
            <w:pPr>
              <w:adjustRightInd/>
              <w:spacing w:line="240" w:lineRule="auto"/>
              <w:jc w:val="center"/>
              <w:rPr>
                <w:rFonts w:ascii="宋体" w:hAnsi="宋体"/>
                <w:sz w:val="18"/>
                <w:szCs w:val="18"/>
              </w:rPr>
            </w:pPr>
            <w:r>
              <w:rPr>
                <w:rFonts w:hint="eastAsia" w:ascii="宋体" w:hAnsi="宋体"/>
                <w:sz w:val="18"/>
                <w:szCs w:val="18"/>
              </w:rPr>
              <w:t>成品料温度稳定精度</w:t>
            </w:r>
          </w:p>
        </w:tc>
        <w:tc>
          <w:tcPr>
            <w:tcW w:w="2500" w:type="pct"/>
            <w:shd w:val="clear" w:color="auto" w:fill="auto"/>
            <w:vAlign w:val="center"/>
          </w:tcPr>
          <w:p w14:paraId="75F24B2A">
            <w:pPr>
              <w:adjustRightInd/>
              <w:spacing w:line="240" w:lineRule="auto"/>
              <w:jc w:val="center"/>
              <w:rPr>
                <w:rFonts w:ascii="宋体" w:hAnsi="宋体"/>
                <w:sz w:val="18"/>
                <w:szCs w:val="18"/>
              </w:rPr>
            </w:pPr>
            <w:r>
              <w:rPr>
                <w:rFonts w:hint="eastAsia" w:ascii="宋体" w:hAnsi="宋体"/>
                <w:sz w:val="18"/>
                <w:szCs w:val="18"/>
              </w:rPr>
              <w:t>±5</w:t>
            </w:r>
            <w:r>
              <w:rPr>
                <w:rFonts w:ascii="宋体" w:hAnsi="宋体"/>
                <w:sz w:val="18"/>
                <w:szCs w:val="18"/>
              </w:rPr>
              <w:t> </w:t>
            </w:r>
            <w:r>
              <w:rPr>
                <w:rFonts w:hint="eastAsia" w:ascii="宋体" w:hAnsi="宋体"/>
                <w:sz w:val="18"/>
                <w:szCs w:val="18"/>
              </w:rPr>
              <w:t>℃</w:t>
            </w:r>
          </w:p>
        </w:tc>
      </w:tr>
      <w:tr w14:paraId="07B2BA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3BD0F160">
            <w:pPr>
              <w:adjustRightInd/>
              <w:spacing w:line="240" w:lineRule="auto"/>
              <w:jc w:val="center"/>
              <w:rPr>
                <w:rFonts w:ascii="宋体" w:hAnsi="宋体"/>
                <w:sz w:val="18"/>
                <w:szCs w:val="18"/>
              </w:rPr>
            </w:pPr>
            <w:r>
              <w:rPr>
                <w:rFonts w:hint="eastAsia" w:ascii="宋体" w:hAnsi="宋体"/>
                <w:sz w:val="18"/>
                <w:szCs w:val="18"/>
              </w:rPr>
              <w:t>温度计计量精度</w:t>
            </w:r>
          </w:p>
        </w:tc>
        <w:tc>
          <w:tcPr>
            <w:tcW w:w="2500" w:type="pct"/>
            <w:shd w:val="clear" w:color="auto" w:fill="auto"/>
            <w:vAlign w:val="center"/>
          </w:tcPr>
          <w:p w14:paraId="59C8CECF">
            <w:pPr>
              <w:adjustRightInd/>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 </w:t>
            </w:r>
            <w:r>
              <w:rPr>
                <w:rFonts w:hint="eastAsia" w:ascii="宋体" w:hAnsi="宋体"/>
                <w:sz w:val="18"/>
                <w:szCs w:val="18"/>
              </w:rPr>
              <w:t>℃</w:t>
            </w:r>
          </w:p>
        </w:tc>
      </w:tr>
      <w:tr w14:paraId="3382D3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6EA4291F">
            <w:pPr>
              <w:adjustRightInd/>
              <w:spacing w:line="240" w:lineRule="auto"/>
              <w:jc w:val="center"/>
              <w:rPr>
                <w:rFonts w:ascii="宋体" w:hAnsi="宋体"/>
                <w:sz w:val="18"/>
                <w:szCs w:val="18"/>
              </w:rPr>
            </w:pPr>
            <w:r>
              <w:rPr>
                <w:rFonts w:hint="eastAsia" w:ascii="宋体" w:hAnsi="宋体"/>
                <w:sz w:val="18"/>
                <w:szCs w:val="18"/>
              </w:rPr>
              <w:t>静态骨料计量精度</w:t>
            </w:r>
          </w:p>
        </w:tc>
        <w:tc>
          <w:tcPr>
            <w:tcW w:w="2500" w:type="pct"/>
            <w:shd w:val="clear" w:color="auto" w:fill="auto"/>
            <w:vAlign w:val="center"/>
          </w:tcPr>
          <w:p w14:paraId="2ACA71F7">
            <w:pPr>
              <w:adjustRightInd/>
              <w:spacing w:line="240" w:lineRule="auto"/>
              <w:jc w:val="center"/>
              <w:rPr>
                <w:rFonts w:ascii="宋体" w:hAnsi="宋体"/>
                <w:sz w:val="18"/>
                <w:szCs w:val="18"/>
              </w:rPr>
            </w:pPr>
            <w:r>
              <w:rPr>
                <w:rFonts w:hint="eastAsia" w:ascii="宋体" w:hAnsi="宋体"/>
                <w:sz w:val="18"/>
                <w:szCs w:val="18"/>
              </w:rPr>
              <w:t>±0</w:t>
            </w:r>
            <w:r>
              <w:rPr>
                <w:rFonts w:ascii="宋体" w:hAnsi="宋体"/>
                <w:sz w:val="18"/>
                <w:szCs w:val="18"/>
              </w:rPr>
              <w:t>.4</w:t>
            </w:r>
            <w:r>
              <w:rPr>
                <w:rFonts w:hint="eastAsia" w:ascii="宋体" w:hAnsi="宋体"/>
                <w:sz w:val="18"/>
                <w:szCs w:val="18"/>
              </w:rPr>
              <w:t>％</w:t>
            </w:r>
          </w:p>
        </w:tc>
      </w:tr>
      <w:tr w14:paraId="48522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3CECDD10">
            <w:pPr>
              <w:adjustRightInd/>
              <w:spacing w:line="240" w:lineRule="auto"/>
              <w:jc w:val="center"/>
              <w:rPr>
                <w:rFonts w:ascii="宋体" w:hAnsi="宋体"/>
                <w:sz w:val="18"/>
                <w:szCs w:val="18"/>
              </w:rPr>
            </w:pPr>
            <w:r>
              <w:rPr>
                <w:rFonts w:hint="eastAsia" w:ascii="宋体" w:hAnsi="宋体"/>
                <w:sz w:val="18"/>
                <w:szCs w:val="18"/>
              </w:rPr>
              <w:t>静态粉料计量精度</w:t>
            </w:r>
          </w:p>
        </w:tc>
        <w:tc>
          <w:tcPr>
            <w:tcW w:w="2500" w:type="pct"/>
            <w:shd w:val="clear" w:color="auto" w:fill="auto"/>
            <w:vAlign w:val="center"/>
          </w:tcPr>
          <w:p w14:paraId="65E9759E">
            <w:pPr>
              <w:adjustRightInd/>
              <w:spacing w:line="240" w:lineRule="auto"/>
              <w:jc w:val="center"/>
              <w:rPr>
                <w:rFonts w:ascii="宋体" w:hAnsi="宋体"/>
                <w:sz w:val="18"/>
                <w:szCs w:val="18"/>
              </w:rPr>
            </w:pPr>
            <w:r>
              <w:rPr>
                <w:rFonts w:hint="eastAsia" w:ascii="宋体" w:hAnsi="宋体"/>
                <w:sz w:val="18"/>
                <w:szCs w:val="18"/>
              </w:rPr>
              <w:t>±0</w:t>
            </w:r>
            <w:r>
              <w:rPr>
                <w:rFonts w:ascii="宋体" w:hAnsi="宋体"/>
                <w:sz w:val="18"/>
                <w:szCs w:val="18"/>
              </w:rPr>
              <w:t>.</w:t>
            </w:r>
            <w:r>
              <w:rPr>
                <w:rFonts w:hint="eastAsia" w:ascii="宋体" w:hAnsi="宋体"/>
                <w:sz w:val="18"/>
                <w:szCs w:val="18"/>
              </w:rPr>
              <w:t>2％</w:t>
            </w:r>
          </w:p>
        </w:tc>
      </w:tr>
      <w:tr w14:paraId="46C26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11D012C5">
            <w:pPr>
              <w:adjustRightInd/>
              <w:spacing w:line="240" w:lineRule="auto"/>
              <w:jc w:val="center"/>
              <w:rPr>
                <w:rFonts w:ascii="宋体" w:hAnsi="宋体"/>
                <w:sz w:val="18"/>
                <w:szCs w:val="18"/>
              </w:rPr>
            </w:pPr>
            <w:r>
              <w:rPr>
                <w:rFonts w:hint="eastAsia" w:ascii="宋体" w:hAnsi="宋体"/>
                <w:sz w:val="18"/>
                <w:szCs w:val="18"/>
              </w:rPr>
              <w:t>静态沥青计量精度</w:t>
            </w:r>
          </w:p>
        </w:tc>
        <w:tc>
          <w:tcPr>
            <w:tcW w:w="2500" w:type="pct"/>
            <w:shd w:val="clear" w:color="auto" w:fill="auto"/>
            <w:vAlign w:val="center"/>
          </w:tcPr>
          <w:p w14:paraId="766CCB5B">
            <w:pPr>
              <w:adjustRightInd/>
              <w:spacing w:line="240" w:lineRule="auto"/>
              <w:jc w:val="center"/>
              <w:rPr>
                <w:rFonts w:ascii="宋体" w:hAnsi="宋体"/>
                <w:sz w:val="18"/>
                <w:szCs w:val="18"/>
              </w:rPr>
            </w:pPr>
            <w:r>
              <w:rPr>
                <w:rFonts w:hint="eastAsia" w:ascii="宋体" w:hAnsi="宋体"/>
                <w:sz w:val="18"/>
                <w:szCs w:val="18"/>
              </w:rPr>
              <w:t>±0</w:t>
            </w:r>
            <w:r>
              <w:rPr>
                <w:rFonts w:ascii="宋体" w:hAnsi="宋体"/>
                <w:sz w:val="18"/>
                <w:szCs w:val="18"/>
              </w:rPr>
              <w:t>.</w:t>
            </w:r>
            <w:r>
              <w:rPr>
                <w:rFonts w:hint="eastAsia" w:ascii="宋体" w:hAnsi="宋体"/>
                <w:sz w:val="18"/>
                <w:szCs w:val="18"/>
              </w:rPr>
              <w:t>2％</w:t>
            </w:r>
          </w:p>
        </w:tc>
      </w:tr>
      <w:tr w14:paraId="4E7CC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29F5B973">
            <w:pPr>
              <w:adjustRightInd/>
              <w:spacing w:line="240" w:lineRule="auto"/>
              <w:jc w:val="center"/>
              <w:rPr>
                <w:rFonts w:ascii="宋体" w:hAnsi="宋体"/>
                <w:sz w:val="18"/>
                <w:szCs w:val="18"/>
              </w:rPr>
            </w:pPr>
            <w:r>
              <w:rPr>
                <w:rFonts w:hint="eastAsia" w:ascii="宋体" w:hAnsi="宋体"/>
                <w:sz w:val="18"/>
                <w:szCs w:val="18"/>
              </w:rPr>
              <w:t>动态骨料计量精度</w:t>
            </w:r>
          </w:p>
        </w:tc>
        <w:tc>
          <w:tcPr>
            <w:tcW w:w="2500" w:type="pct"/>
            <w:shd w:val="clear" w:color="auto" w:fill="auto"/>
            <w:vAlign w:val="center"/>
          </w:tcPr>
          <w:p w14:paraId="52D84931">
            <w:pPr>
              <w:adjustRightInd/>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.5</w:t>
            </w:r>
            <w:r>
              <w:rPr>
                <w:rFonts w:hint="eastAsia" w:ascii="宋体" w:hAnsi="宋体"/>
                <w:sz w:val="18"/>
                <w:szCs w:val="18"/>
              </w:rPr>
              <w:t>％</w:t>
            </w:r>
          </w:p>
        </w:tc>
      </w:tr>
      <w:tr w14:paraId="3DBECF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2365ED02">
            <w:pPr>
              <w:adjustRightInd/>
              <w:spacing w:line="240" w:lineRule="auto"/>
              <w:jc w:val="center"/>
              <w:rPr>
                <w:rFonts w:ascii="宋体" w:hAnsi="宋体"/>
                <w:sz w:val="18"/>
                <w:szCs w:val="18"/>
              </w:rPr>
            </w:pPr>
            <w:r>
              <w:rPr>
                <w:rFonts w:hint="eastAsia" w:ascii="宋体" w:hAnsi="宋体"/>
                <w:sz w:val="18"/>
                <w:szCs w:val="18"/>
              </w:rPr>
              <w:t>动态粉料计量精度</w:t>
            </w:r>
          </w:p>
        </w:tc>
        <w:tc>
          <w:tcPr>
            <w:tcW w:w="2500" w:type="pct"/>
            <w:shd w:val="clear" w:color="auto" w:fill="auto"/>
            <w:vAlign w:val="center"/>
          </w:tcPr>
          <w:p w14:paraId="18422CD6">
            <w:pPr>
              <w:adjustRightInd/>
              <w:spacing w:line="240" w:lineRule="auto"/>
              <w:jc w:val="center"/>
              <w:rPr>
                <w:rFonts w:ascii="宋体" w:hAnsi="宋体"/>
                <w:sz w:val="18"/>
                <w:szCs w:val="18"/>
              </w:rPr>
            </w:pPr>
            <w:r>
              <w:rPr>
                <w:rFonts w:hint="eastAsia" w:ascii="宋体" w:hAnsi="宋体"/>
                <w:sz w:val="18"/>
                <w:szCs w:val="18"/>
              </w:rPr>
              <w:t>±2％</w:t>
            </w:r>
          </w:p>
        </w:tc>
      </w:tr>
      <w:tr w14:paraId="6F8B38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500" w:type="pct"/>
            <w:shd w:val="clear" w:color="auto" w:fill="auto"/>
            <w:vAlign w:val="center"/>
          </w:tcPr>
          <w:p w14:paraId="5C321A0E">
            <w:pPr>
              <w:adjustRightInd/>
              <w:spacing w:line="240" w:lineRule="auto"/>
              <w:jc w:val="center"/>
              <w:rPr>
                <w:rFonts w:ascii="宋体" w:hAnsi="宋体"/>
                <w:sz w:val="18"/>
                <w:szCs w:val="18"/>
              </w:rPr>
            </w:pPr>
            <w:r>
              <w:rPr>
                <w:rFonts w:hint="eastAsia" w:ascii="宋体" w:hAnsi="宋体"/>
                <w:sz w:val="18"/>
                <w:szCs w:val="18"/>
              </w:rPr>
              <w:t>动态沥青计量精度</w:t>
            </w:r>
          </w:p>
        </w:tc>
        <w:tc>
          <w:tcPr>
            <w:tcW w:w="2500" w:type="pct"/>
            <w:shd w:val="clear" w:color="auto" w:fill="auto"/>
            <w:vAlign w:val="center"/>
          </w:tcPr>
          <w:p w14:paraId="091E6EBF">
            <w:pPr>
              <w:adjustRightInd/>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.5</w:t>
            </w:r>
            <w:r>
              <w:rPr>
                <w:rFonts w:hint="eastAsia" w:ascii="宋体" w:hAnsi="宋体"/>
                <w:sz w:val="18"/>
                <w:szCs w:val="18"/>
              </w:rPr>
              <w:t>％</w:t>
            </w:r>
          </w:p>
        </w:tc>
      </w:tr>
    </w:tbl>
    <w:p w14:paraId="4B0FF3A2">
      <w:pPr>
        <w:pStyle w:val="58"/>
        <w:ind w:firstLine="420"/>
      </w:pPr>
    </w:p>
    <w:p w14:paraId="3E0266CB">
      <w:pPr>
        <w:pStyle w:val="167"/>
        <w:ind w:left="0"/>
      </w:pPr>
      <w:r>
        <w:rPr>
          <w:rFonts w:hint="eastAsia"/>
        </w:rPr>
        <w:t>沥青混合料拌和机每盘混合料拌和应不少于额定拌和量的80％。</w:t>
      </w:r>
    </w:p>
    <w:p w14:paraId="7D2E4485">
      <w:pPr>
        <w:pStyle w:val="167"/>
        <w:ind w:left="0"/>
      </w:pPr>
      <w:r>
        <w:rPr>
          <w:rFonts w:hint="eastAsia"/>
        </w:rPr>
        <w:t>LSPM沥青混合料的拌和时间应根据拌和机型号、搅拌器的充盈率等因素试拌确定。</w:t>
      </w:r>
    </w:p>
    <w:p w14:paraId="7307AD28">
      <w:pPr>
        <w:pStyle w:val="167"/>
        <w:ind w:left="0"/>
      </w:pPr>
      <w:r>
        <w:rPr>
          <w:rFonts w:hint="eastAsia"/>
        </w:rPr>
        <w:t>在混合料中添加纤维等添加剂时，添加剂应在混合料中充分分散，拌和均匀，干拌时间宜延长5</w:t>
      </w:r>
      <w:r>
        <w:t> </w:t>
      </w:r>
      <w:r>
        <w:rPr>
          <w:rFonts w:hint="eastAsia"/>
        </w:rPr>
        <w:t>s以上。</w:t>
      </w:r>
    </w:p>
    <w:p w14:paraId="088AC7B4">
      <w:pPr>
        <w:pStyle w:val="107"/>
        <w:spacing w:before="156" w:after="156"/>
      </w:pPr>
      <w:bookmarkStart w:id="176" w:name="_Toc198802233"/>
      <w:bookmarkStart w:id="177" w:name="_Toc198816988"/>
      <w:bookmarkStart w:id="178" w:name="_Toc169879614"/>
      <w:bookmarkStart w:id="179" w:name="_Toc199251484"/>
      <w:bookmarkStart w:id="180" w:name="_Toc195013018"/>
      <w:bookmarkStart w:id="181" w:name="_Toc198815905"/>
      <w:r>
        <w:rPr>
          <w:rFonts w:hint="eastAsia"/>
        </w:rPr>
        <w:t>运输</w:t>
      </w:r>
      <w:bookmarkEnd w:id="176"/>
      <w:bookmarkEnd w:id="177"/>
      <w:bookmarkEnd w:id="178"/>
      <w:bookmarkEnd w:id="179"/>
      <w:bookmarkEnd w:id="180"/>
      <w:bookmarkEnd w:id="181"/>
    </w:p>
    <w:p w14:paraId="4F1BF4B8">
      <w:pPr>
        <w:pStyle w:val="167"/>
        <w:ind w:left="0"/>
      </w:pPr>
      <w:bookmarkStart w:id="182" w:name="_Hlk187764706"/>
      <w:r>
        <w:rPr>
          <w:rFonts w:hint="eastAsia" w:hAnsi="宋体"/>
        </w:rPr>
        <w:t>LSPM</w:t>
      </w:r>
      <w:r>
        <w:rPr>
          <w:rFonts w:hint="eastAsia"/>
        </w:rPr>
        <w:t>混合料宜采用较大吨位运料车运输，运输过程中不准许急刹车、急弯掉头，不应造成封层、透层的损伤。</w:t>
      </w:r>
      <w:bookmarkEnd w:id="182"/>
    </w:p>
    <w:p w14:paraId="7E8816C0">
      <w:pPr>
        <w:pStyle w:val="167"/>
        <w:ind w:left="0"/>
      </w:pPr>
      <w:r>
        <w:rPr>
          <w:rFonts w:hint="eastAsia"/>
        </w:rPr>
        <w:t>LSPM沥青混合料在装料过程中，应降低放料口与车厢底板的距离，并且根据车辆大小采用前、后、中三次装料法或前、后、中、前、后五次装料法，混合料装料顺序如图1所示。</w:t>
      </w:r>
    </w:p>
    <w:p w14:paraId="45DDB0C5">
      <w:pPr>
        <w:pStyle w:val="58"/>
        <w:ind w:firstLine="0" w:firstLineChars="0"/>
        <w:jc w:val="center"/>
      </w:pPr>
      <w:r>
        <w:rPr>
          <w:rFonts w:hAnsi="宋体"/>
          <w:szCs w:val="21"/>
        </w:rPr>
        <w:drawing>
          <wp:inline distT="0" distB="0" distL="0" distR="0">
            <wp:extent cx="5040630" cy="1430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noChangeArrowheads="1"/>
                    </pic:cNvPicPr>
                  </pic:nvPicPr>
                  <pic:blipFill>
                    <a:blip r:embed="rId13" cstate="print">
                      <a:extLst>
                        <a:ext uri="{BEBA8EAE-BF5A-486C-A8C5-ECC9F3942E4B}">
                          <a14:imgProps xmlns:a14="http://schemas.microsoft.com/office/drawing/2010/main">
                            <a14:imgLayer r:embed="rId14">
                              <a14:imgEffect>
                                <a14:brightnessContrast contrast="-40000"/>
                              </a14:imgEffect>
                              <a14:imgEffect>
                                <a14:sharpenSoften amount="80000"/>
                              </a14:imgEffect>
                            </a14:imgLayer>
                          </a14:imgProps>
                        </a:ext>
                        <a:ext uri="{28A0092B-C50C-407E-A947-70E740481C1C}">
                          <a14:useLocalDpi xmlns:a14="http://schemas.microsoft.com/office/drawing/2010/main" val="0"/>
                        </a:ext>
                      </a:extLst>
                    </a:blip>
                    <a:srcRect l="10718" r="5788"/>
                    <a:stretch>
                      <a:fillRect/>
                    </a:stretch>
                  </pic:blipFill>
                  <pic:spPr>
                    <a:xfrm>
                      <a:off x="0" y="0"/>
                      <a:ext cx="5085282" cy="1443904"/>
                    </a:xfrm>
                    <a:prstGeom prst="rect">
                      <a:avLst/>
                    </a:prstGeom>
                    <a:noFill/>
                    <a:ln>
                      <a:noFill/>
                    </a:ln>
                  </pic:spPr>
                </pic:pic>
              </a:graphicData>
            </a:graphic>
          </wp:inline>
        </w:drawing>
      </w:r>
    </w:p>
    <w:p w14:paraId="64D35A7E">
      <w:pPr>
        <w:pStyle w:val="116"/>
        <w:numPr>
          <w:ilvl w:val="0"/>
          <w:numId w:val="0"/>
        </w:numPr>
        <w:spacing w:before="156" w:after="156"/>
        <w:rPr>
          <w:szCs w:val="21"/>
        </w:rPr>
      </w:pPr>
      <w:r>
        <w:rPr>
          <w:rFonts w:hint="eastAsia"/>
          <w:szCs w:val="21"/>
        </w:rPr>
        <w:t>a）三次装料法</w:t>
      </w:r>
    </w:p>
    <w:p w14:paraId="1B438751">
      <w:pPr>
        <w:pStyle w:val="116"/>
        <w:spacing w:before="156" w:after="156"/>
      </w:pPr>
      <w:r>
        <w:rPr>
          <w:rFonts w:hint="eastAsia"/>
        </w:rPr>
        <w:t>混合料装料顺序示意图</w:t>
      </w:r>
    </w:p>
    <w:p w14:paraId="08AAE55A">
      <w:pPr>
        <w:pStyle w:val="58"/>
        <w:ind w:firstLine="0" w:firstLineChars="0"/>
        <w:jc w:val="center"/>
      </w:pPr>
      <w:r>
        <w:rPr>
          <w:rFonts w:hAnsi="宋体"/>
          <w:szCs w:val="21"/>
        </w:rPr>
        <w:drawing>
          <wp:inline distT="0" distB="0" distL="0" distR="0">
            <wp:extent cx="5041900" cy="2654300"/>
            <wp:effectExtent l="0" t="0" r="6350" b="0"/>
            <wp:docPr id="204280627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806271" name="图片 8"/>
                    <pic:cNvPicPr>
                      <a:picLocks noChangeAspect="1" noChangeArrowheads="1"/>
                    </pic:cNvPicPr>
                  </pic:nvPicPr>
                  <pic:blipFill>
                    <a:blip r:embed="rId15" cstate="print">
                      <a:extLst>
                        <a:ext uri="{BEBA8EAE-BF5A-486C-A8C5-ECC9F3942E4B}">
                          <a14:imgProps xmlns:a14="http://schemas.microsoft.com/office/drawing/2010/main">
                            <a14:imgLayer r:embed="rId16">
                              <a14:imgEffect>
                                <a14:brightnessContrast contrast="-40000"/>
                              </a14:imgEffect>
                              <a14:imgEffect>
                                <a14:sharpenSoften amount="80000"/>
                              </a14:imgEffect>
                            </a14:imgLayer>
                          </a14:imgProps>
                        </a:ext>
                        <a:ext uri="{28A0092B-C50C-407E-A947-70E740481C1C}">
                          <a14:useLocalDpi xmlns:a14="http://schemas.microsoft.com/office/drawing/2010/main" val="0"/>
                        </a:ext>
                      </a:extLst>
                    </a:blip>
                    <a:srcRect l="2803"/>
                    <a:stretch>
                      <a:fillRect/>
                    </a:stretch>
                  </pic:blipFill>
                  <pic:spPr>
                    <a:xfrm>
                      <a:off x="0" y="0"/>
                      <a:ext cx="5041900" cy="2654300"/>
                    </a:xfrm>
                    <a:prstGeom prst="rect">
                      <a:avLst/>
                    </a:prstGeom>
                    <a:noFill/>
                    <a:ln>
                      <a:noFill/>
                    </a:ln>
                  </pic:spPr>
                </pic:pic>
              </a:graphicData>
            </a:graphic>
          </wp:inline>
        </w:drawing>
      </w:r>
    </w:p>
    <w:p w14:paraId="1F2D66A5">
      <w:pPr>
        <w:pStyle w:val="116"/>
        <w:numPr>
          <w:ilvl w:val="0"/>
          <w:numId w:val="0"/>
        </w:numPr>
        <w:spacing w:before="156" w:after="156"/>
        <w:rPr>
          <w:sz w:val="18"/>
          <w:szCs w:val="18"/>
        </w:rPr>
      </w:pPr>
      <w:r>
        <w:rPr>
          <w:rFonts w:hint="eastAsia"/>
          <w:sz w:val="18"/>
          <w:szCs w:val="18"/>
        </w:rPr>
        <w:t>b） 五次装料法</w:t>
      </w:r>
    </w:p>
    <w:p w14:paraId="2BC77D38">
      <w:pPr>
        <w:pStyle w:val="116"/>
        <w:numPr>
          <w:ilvl w:val="0"/>
          <w:numId w:val="0"/>
        </w:numPr>
        <w:spacing w:before="156" w:after="156"/>
      </w:pPr>
      <w:r>
        <w:rPr>
          <w:rFonts w:hint="eastAsia"/>
        </w:rPr>
        <w:t>图1</w:t>
      </w:r>
      <w:r>
        <w:t xml:space="preserve">  </w:t>
      </w:r>
      <w:r>
        <w:rPr>
          <w:rFonts w:hint="eastAsia"/>
        </w:rPr>
        <w:t>混合料装料顺序示意图</w:t>
      </w:r>
      <w:r>
        <w:rPr>
          <w:rFonts w:hint="eastAsia" w:ascii="宋体" w:hAnsi="宋体" w:eastAsia="宋体"/>
        </w:rPr>
        <w:t>（续）</w:t>
      </w:r>
    </w:p>
    <w:p w14:paraId="1F1B8671">
      <w:pPr>
        <w:pStyle w:val="167"/>
        <w:ind w:left="0"/>
      </w:pPr>
      <w:r>
        <w:rPr>
          <w:rFonts w:hint="eastAsia"/>
        </w:rPr>
        <w:t>运输车辆测温及保温措施应符合JTG F40的有关规定。</w:t>
      </w:r>
    </w:p>
    <w:p w14:paraId="7E016042">
      <w:pPr>
        <w:pStyle w:val="167"/>
        <w:ind w:left="0"/>
      </w:pPr>
      <w:r>
        <w:rPr>
          <w:rFonts w:hint="eastAsia"/>
        </w:rPr>
        <w:t>LSPM混合料在运输、等候过程中，如发现有沥青结合料沿车厢板滴漏时，应采取措施予以避免。</w:t>
      </w:r>
    </w:p>
    <w:p w14:paraId="15D6C18F">
      <w:pPr>
        <w:pStyle w:val="107"/>
        <w:spacing w:before="156" w:after="156"/>
      </w:pPr>
      <w:bookmarkStart w:id="183" w:name="_Toc198816989"/>
      <w:bookmarkStart w:id="184" w:name="_Toc169879615"/>
      <w:bookmarkStart w:id="185" w:name="_Toc195013019"/>
      <w:bookmarkStart w:id="186" w:name="_Toc198815906"/>
      <w:bookmarkStart w:id="187" w:name="_Toc198802234"/>
      <w:bookmarkStart w:id="188" w:name="_Toc199251485"/>
      <w:r>
        <w:rPr>
          <w:rFonts w:hint="eastAsia"/>
        </w:rPr>
        <w:t>摊铺</w:t>
      </w:r>
      <w:bookmarkEnd w:id="183"/>
      <w:bookmarkEnd w:id="184"/>
      <w:bookmarkEnd w:id="185"/>
      <w:bookmarkEnd w:id="186"/>
      <w:bookmarkEnd w:id="187"/>
      <w:bookmarkEnd w:id="188"/>
    </w:p>
    <w:p w14:paraId="6ACC4EE8">
      <w:pPr>
        <w:pStyle w:val="167"/>
        <w:ind w:left="0"/>
      </w:pPr>
      <w:r>
        <w:rPr>
          <w:rFonts w:hint="eastAsia"/>
        </w:rPr>
        <w:t>LSPM结构层摊铺时应一次铺筑。</w:t>
      </w:r>
    </w:p>
    <w:p w14:paraId="3AFC10D2">
      <w:pPr>
        <w:pStyle w:val="167"/>
        <w:ind w:left="0"/>
      </w:pPr>
      <w:r>
        <w:rPr>
          <w:rFonts w:hint="eastAsia"/>
        </w:rPr>
        <w:t>LSPM混合料的摊铺速度应根据拌和站的拌合能力进行合理调整，不宜大于2</w:t>
      </w:r>
      <w:r>
        <w:t> </w:t>
      </w:r>
      <w:r>
        <w:rPr>
          <w:rFonts w:hint="eastAsia"/>
        </w:rPr>
        <w:t>m/min，做到缓慢、均匀、不间断的摊铺。</w:t>
      </w:r>
    </w:p>
    <w:p w14:paraId="731E098C">
      <w:pPr>
        <w:pStyle w:val="167"/>
        <w:ind w:left="0"/>
      </w:pPr>
      <w:r>
        <w:rPr>
          <w:rFonts w:hint="eastAsia"/>
        </w:rPr>
        <w:t>由于LSPM混合料粗骨料骨架空隙结构，施工过程中容易产生离析，摊铺设备需配置必要的防离析措施，减少混合料的离析。</w:t>
      </w:r>
    </w:p>
    <w:p w14:paraId="62614814">
      <w:pPr>
        <w:pStyle w:val="167"/>
        <w:ind w:left="0"/>
      </w:pPr>
      <w:r>
        <w:rPr>
          <w:rFonts w:hint="eastAsia"/>
        </w:rPr>
        <w:t>摊铺过程中应少收拢料斗，当需要收拢料斗时，应在刮板上尚有10</w:t>
      </w:r>
      <w:r>
        <w:t> </w:t>
      </w:r>
      <w:r>
        <w:rPr>
          <w:rFonts w:hint="eastAsia"/>
        </w:rPr>
        <w:t>cm以上厚度混合料时收拢料斗，且应与车辆指挥人员相互配合，使料斗复位时下一辆料车及时开始卸料，做到连续摊铺不停机且防止收拢料斗造成的粗细集料离析。</w:t>
      </w:r>
    </w:p>
    <w:p w14:paraId="491709CC">
      <w:pPr>
        <w:pStyle w:val="167"/>
        <w:ind w:left="0"/>
      </w:pPr>
      <w:r>
        <w:rPr>
          <w:rFonts w:hint="eastAsia"/>
        </w:rPr>
        <w:t>LSPM混合料的松铺系数宜选择1.2～1.3之间。</w:t>
      </w:r>
    </w:p>
    <w:p w14:paraId="13DFAB7B">
      <w:pPr>
        <w:pStyle w:val="167"/>
        <w:ind w:left="0"/>
      </w:pPr>
      <w:r>
        <w:rPr>
          <w:rFonts w:hint="eastAsia"/>
        </w:rPr>
        <w:t>摊铺过程中不应用柴油等溶液清理施工工具，可采用植物油溶液或火烧的方法清理。</w:t>
      </w:r>
    </w:p>
    <w:p w14:paraId="06C25565">
      <w:pPr>
        <w:pStyle w:val="107"/>
        <w:spacing w:before="156" w:after="156"/>
      </w:pPr>
      <w:bookmarkStart w:id="189" w:name="_Toc198802235"/>
      <w:bookmarkStart w:id="190" w:name="_Toc198815907"/>
      <w:bookmarkStart w:id="191" w:name="_Toc199251486"/>
      <w:bookmarkStart w:id="192" w:name="_Toc198816990"/>
      <w:bookmarkStart w:id="193" w:name="_Toc195013020"/>
      <w:r>
        <w:rPr>
          <w:rFonts w:hint="eastAsia"/>
        </w:rPr>
        <w:t>碾压</w:t>
      </w:r>
      <w:bookmarkEnd w:id="189"/>
      <w:bookmarkEnd w:id="190"/>
      <w:bookmarkEnd w:id="191"/>
      <w:bookmarkEnd w:id="192"/>
      <w:bookmarkEnd w:id="193"/>
    </w:p>
    <w:p w14:paraId="6852B0A5">
      <w:pPr>
        <w:pStyle w:val="167"/>
        <w:ind w:left="0"/>
      </w:pPr>
      <w:r>
        <w:rPr>
          <w:rFonts w:hint="eastAsia"/>
        </w:rPr>
        <w:t>LSPM的压实是保证质量的重要环节，应通过试验段选择合理的压路机组合方式和碾压步骤。</w:t>
      </w:r>
    </w:p>
    <w:p w14:paraId="474FA98B">
      <w:pPr>
        <w:pStyle w:val="167"/>
        <w:ind w:left="0"/>
      </w:pPr>
      <w:r>
        <w:rPr>
          <w:rFonts w:hint="eastAsia"/>
        </w:rPr>
        <w:t>由于LSPM是粗骨料骨架空隙结构，施工时既要保证粗骨料的骨架结构又要防止由于过碾而导致骨料棱角的破坏。</w:t>
      </w:r>
    </w:p>
    <w:p w14:paraId="56282026">
      <w:pPr>
        <w:pStyle w:val="167"/>
        <w:ind w:left="0"/>
      </w:pPr>
      <w:r>
        <w:rPr>
          <w:rFonts w:hint="eastAsia"/>
        </w:rPr>
        <w:t>LSPM混合料碾压应配备足够的双钢轮振动压路机和胶轮压路机，双车道沥青路面的压路机数量不宜少于4台。</w:t>
      </w:r>
    </w:p>
    <w:p w14:paraId="5C6625CC">
      <w:pPr>
        <w:pStyle w:val="167"/>
        <w:ind w:left="0"/>
      </w:pPr>
      <w:r>
        <w:rPr>
          <w:rFonts w:hint="eastAsia"/>
        </w:rPr>
        <w:t xml:space="preserve">LSPM宜采用的压实工艺应结合压路机数量、组合方式根据摊铺厚度、摊铺宽度及施工环境温度合理确定，推荐以下两种碾压工艺。 </w:t>
      </w:r>
    </w:p>
    <w:p w14:paraId="55C4F4B3">
      <w:pPr>
        <w:pStyle w:val="176"/>
        <w:numPr>
          <w:ilvl w:val="0"/>
          <w:numId w:val="33"/>
        </w:numPr>
      </w:pPr>
      <w:r>
        <w:rPr>
          <w:rFonts w:hint="eastAsia"/>
        </w:rPr>
        <w:t>碾压工艺一：</w:t>
      </w:r>
    </w:p>
    <w:p w14:paraId="7FEC5EF3">
      <w:pPr>
        <w:pStyle w:val="111"/>
      </w:pPr>
      <w:r>
        <w:rPr>
          <w:rFonts w:hint="eastAsia"/>
        </w:rPr>
        <w:t>初压：采用双钢轮压路机进行静压，碾压1遍；</w:t>
      </w:r>
    </w:p>
    <w:p w14:paraId="2A038E02">
      <w:pPr>
        <w:pStyle w:val="111"/>
      </w:pPr>
      <w:r>
        <w:rPr>
          <w:rFonts w:hint="eastAsia"/>
        </w:rPr>
        <w:t>复压：采用双钢轮振动压路机进行振动压实，碾压2遍～3遍，洒水装置进行间断洒水，保证不粘轮；</w:t>
      </w:r>
    </w:p>
    <w:p w14:paraId="656BB4C5">
      <w:pPr>
        <w:pStyle w:val="111"/>
      </w:pPr>
      <w:r>
        <w:rPr>
          <w:rFonts w:hint="eastAsia"/>
        </w:rPr>
        <w:t>终压：采用双钢轮压路机进行静压收面，碾压1遍</w:t>
      </w:r>
      <w:bookmarkStart w:id="194" w:name="OLE_LINK2"/>
      <w:r>
        <w:rPr>
          <w:rFonts w:hint="eastAsia"/>
        </w:rPr>
        <w:t>～</w:t>
      </w:r>
      <w:bookmarkEnd w:id="194"/>
      <w:r>
        <w:rPr>
          <w:rFonts w:hint="eastAsia"/>
        </w:rPr>
        <w:t>2遍。</w:t>
      </w:r>
    </w:p>
    <w:p w14:paraId="7002E5CB">
      <w:pPr>
        <w:pStyle w:val="176"/>
      </w:pPr>
      <w:r>
        <w:rPr>
          <w:rFonts w:hint="eastAsia"/>
        </w:rPr>
        <w:t>碾压工艺二：</w:t>
      </w:r>
    </w:p>
    <w:p w14:paraId="3A36A318">
      <w:pPr>
        <w:pStyle w:val="111"/>
      </w:pPr>
      <w:r>
        <w:rPr>
          <w:rFonts w:hint="eastAsia"/>
        </w:rPr>
        <w:t>初压：采用双钢轮压路机，第1遍为静压，第2遍开始采用振动压实，振动压实2遍～3遍，洒水装置进行间断洒水，保证不粘轮即可；</w:t>
      </w:r>
    </w:p>
    <w:p w14:paraId="5D1B9D6B">
      <w:pPr>
        <w:pStyle w:val="111"/>
      </w:pPr>
      <w:r>
        <w:rPr>
          <w:rFonts w:hint="eastAsia"/>
        </w:rPr>
        <w:t>复压：采用胶轮压路机，根据混合料温度适当控制复压时机，胶轮碾压1遍～2遍；</w:t>
      </w:r>
    </w:p>
    <w:p w14:paraId="0772F993">
      <w:pPr>
        <w:pStyle w:val="111"/>
      </w:pPr>
      <w:r>
        <w:rPr>
          <w:rFonts w:hint="eastAsia"/>
        </w:rPr>
        <w:t>终压：双钢轮压路机进行静压收面，碾压1遍～2遍。</w:t>
      </w:r>
    </w:p>
    <w:p w14:paraId="60DD3EDD">
      <w:pPr>
        <w:pStyle w:val="167"/>
        <w:ind w:left="0"/>
      </w:pPr>
      <w:r>
        <w:rPr>
          <w:rFonts w:hint="eastAsia"/>
        </w:rPr>
        <w:t>在施工过程中应有专人指挥压路机的碾压。</w:t>
      </w:r>
    </w:p>
    <w:p w14:paraId="22C1828C">
      <w:pPr>
        <w:pStyle w:val="167"/>
        <w:ind w:left="0"/>
      </w:pPr>
      <w:r>
        <w:rPr>
          <w:rFonts w:hint="eastAsia"/>
        </w:rPr>
        <w:t>碾压应在混合料摊铺后及时进行，不可在未碾压完成的路面上停机等候。</w:t>
      </w:r>
    </w:p>
    <w:p w14:paraId="74B9FBAA">
      <w:pPr>
        <w:pStyle w:val="106"/>
        <w:spacing w:before="312" w:after="312"/>
      </w:pPr>
      <w:bookmarkStart w:id="195" w:name="_Toc199251487"/>
      <w:bookmarkStart w:id="196" w:name="_Toc169879617"/>
      <w:bookmarkStart w:id="197" w:name="_Toc198815908"/>
      <w:bookmarkStart w:id="198" w:name="_Toc198816991"/>
      <w:bookmarkStart w:id="199" w:name="_Toc195013021"/>
      <w:bookmarkStart w:id="200" w:name="_Toc198802236"/>
      <w:r>
        <w:rPr>
          <w:rFonts w:hint="eastAsia"/>
        </w:rPr>
        <w:t>质量管理和检查验收</w:t>
      </w:r>
      <w:bookmarkEnd w:id="195"/>
      <w:bookmarkEnd w:id="196"/>
      <w:bookmarkEnd w:id="197"/>
      <w:bookmarkEnd w:id="198"/>
      <w:bookmarkEnd w:id="199"/>
      <w:bookmarkEnd w:id="200"/>
    </w:p>
    <w:p w14:paraId="1DF89B8D">
      <w:pPr>
        <w:pStyle w:val="107"/>
        <w:spacing w:before="156" w:after="156"/>
      </w:pPr>
      <w:bookmarkStart w:id="201" w:name="_Toc199251488"/>
      <w:bookmarkStart w:id="202" w:name="_Toc169879618"/>
      <w:bookmarkStart w:id="203" w:name="_Toc198802237"/>
      <w:bookmarkStart w:id="204" w:name="_Toc198815909"/>
      <w:bookmarkStart w:id="205" w:name="_Toc198816992"/>
      <w:bookmarkStart w:id="206" w:name="_Toc195013022"/>
      <w:r>
        <w:rPr>
          <w:rFonts w:hint="eastAsia"/>
        </w:rPr>
        <w:t>一般规定</w:t>
      </w:r>
      <w:bookmarkEnd w:id="201"/>
      <w:bookmarkEnd w:id="202"/>
      <w:bookmarkEnd w:id="203"/>
      <w:bookmarkEnd w:id="204"/>
      <w:bookmarkEnd w:id="205"/>
      <w:bookmarkEnd w:id="206"/>
    </w:p>
    <w:p w14:paraId="65742E30">
      <w:pPr>
        <w:pStyle w:val="167"/>
        <w:ind w:left="0"/>
      </w:pPr>
      <w:r>
        <w:rPr>
          <w:rFonts w:hint="eastAsia"/>
        </w:rPr>
        <w:t>施工质量管理和检查验收应符合JTG F40的有关规定。</w:t>
      </w:r>
    </w:p>
    <w:p w14:paraId="351CC998">
      <w:pPr>
        <w:pStyle w:val="167"/>
        <w:ind w:left="0"/>
      </w:pPr>
      <w:r>
        <w:rPr>
          <w:rFonts w:hint="eastAsia"/>
        </w:rPr>
        <w:t>施工质量管理与检查验收应包括工程施工前、施工过程中质量管理与质量控制，以及各施工工序间的质量检查验收。</w:t>
      </w:r>
    </w:p>
    <w:p w14:paraId="2C6EA41C">
      <w:pPr>
        <w:pStyle w:val="167"/>
        <w:ind w:left="0"/>
      </w:pPr>
      <w:r>
        <w:rPr>
          <w:rFonts w:hint="eastAsia"/>
        </w:rPr>
        <w:t>LSPM路面施工应加强过程质量控制，实行动态质量管理。</w:t>
      </w:r>
    </w:p>
    <w:p w14:paraId="2B9AA27C">
      <w:pPr>
        <w:pStyle w:val="107"/>
        <w:spacing w:before="156" w:after="156"/>
      </w:pPr>
      <w:bookmarkStart w:id="207" w:name="_Toc198816993"/>
      <w:bookmarkStart w:id="208" w:name="_Toc195013023"/>
      <w:bookmarkStart w:id="209" w:name="_Toc186726027"/>
      <w:bookmarkStart w:id="210" w:name="_Toc198815910"/>
      <w:bookmarkStart w:id="211" w:name="_Toc198802238"/>
      <w:bookmarkStart w:id="212" w:name="_Toc199251489"/>
      <w:r>
        <w:rPr>
          <w:rFonts w:hint="eastAsia"/>
        </w:rPr>
        <w:t>施工前质量管理与检查</w:t>
      </w:r>
      <w:bookmarkEnd w:id="207"/>
      <w:bookmarkEnd w:id="208"/>
      <w:bookmarkEnd w:id="209"/>
      <w:bookmarkEnd w:id="210"/>
      <w:bookmarkEnd w:id="211"/>
      <w:bookmarkEnd w:id="212"/>
    </w:p>
    <w:p w14:paraId="6658407E">
      <w:pPr>
        <w:pStyle w:val="167"/>
        <w:ind w:left="0"/>
      </w:pPr>
      <w:r>
        <w:rPr>
          <w:rFonts w:hint="eastAsia"/>
        </w:rPr>
        <w:t>施工前应检查各种材料的来源和质量。对沥青、集料等重要原材料，供货单位应提供最新检测的正式试验报告。</w:t>
      </w:r>
    </w:p>
    <w:p w14:paraId="62AF0C9F">
      <w:pPr>
        <w:pStyle w:val="167"/>
        <w:ind w:left="0"/>
        <w:rPr>
          <w:strike/>
        </w:rPr>
      </w:pPr>
      <w:r>
        <w:rPr>
          <w:rFonts w:hint="eastAsia"/>
        </w:rPr>
        <w:t>各种材料应在施工前以“批”为单位进行检验，不符合要求的材料不应进场。</w:t>
      </w:r>
    </w:p>
    <w:p w14:paraId="70840A59">
      <w:pPr>
        <w:pStyle w:val="167"/>
        <w:ind w:left="0"/>
      </w:pPr>
      <w:r>
        <w:rPr>
          <w:rFonts w:hint="eastAsia"/>
        </w:rPr>
        <w:t>使用改性沥青时，应要求供应商提供所使用改性剂型号和基质沥青的质量检验报告，必要时应对基质沥青进行取样检测。使用现场改性沥青的工程，应对试生产的改性沥青进行检测，质量不合格的不可使用。</w:t>
      </w:r>
    </w:p>
    <w:p w14:paraId="148DE954">
      <w:pPr>
        <w:pStyle w:val="107"/>
        <w:spacing w:before="156" w:after="156"/>
      </w:pPr>
      <w:bookmarkStart w:id="213" w:name="_Toc198802239"/>
      <w:bookmarkStart w:id="214" w:name="_Toc198815911"/>
      <w:bookmarkStart w:id="215" w:name="_Toc195013024"/>
      <w:bookmarkStart w:id="216" w:name="_Toc198816994"/>
      <w:bookmarkStart w:id="217" w:name="_Toc199251490"/>
      <w:r>
        <w:rPr>
          <w:rFonts w:hint="eastAsia"/>
        </w:rPr>
        <w:t>施工过程中质量管理与检查</w:t>
      </w:r>
      <w:bookmarkEnd w:id="213"/>
      <w:bookmarkEnd w:id="214"/>
      <w:bookmarkEnd w:id="215"/>
      <w:bookmarkEnd w:id="216"/>
      <w:bookmarkEnd w:id="217"/>
    </w:p>
    <w:p w14:paraId="233CEBB2">
      <w:pPr>
        <w:pStyle w:val="167"/>
        <w:ind w:left="0"/>
      </w:pPr>
      <w:r>
        <w:rPr>
          <w:rFonts w:hint="eastAsia"/>
        </w:rPr>
        <w:t>LSPM施工中应抓好材料质量、施工温度、施工工艺等关键环节。</w:t>
      </w:r>
    </w:p>
    <w:p w14:paraId="732ADDA2">
      <w:pPr>
        <w:pStyle w:val="167"/>
        <w:ind w:left="0"/>
      </w:pPr>
      <w:r>
        <w:rPr>
          <w:rFonts w:hint="eastAsia"/>
        </w:rPr>
        <w:t>施工过程中材料质量检查项目和频率应符合表10的规定。每个检查项目的平行试验次数或一次试验的试样数应按相关试验规程的规定执行，并以平均值评价是否合格。未列入表中的材料的检查项目和频度按材料质量要求确定。</w:t>
      </w:r>
    </w:p>
    <w:p w14:paraId="4E85851D">
      <w:pPr>
        <w:pStyle w:val="114"/>
        <w:spacing w:before="156" w:after="156"/>
      </w:pPr>
      <w:r>
        <w:rPr>
          <w:rFonts w:hint="eastAsia"/>
        </w:rPr>
        <w:t>施工过程中材料质量检查的项目和频度</w:t>
      </w:r>
    </w:p>
    <w:tbl>
      <w:tblPr>
        <w:tblStyle w:val="27"/>
        <w:tblW w:w="481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700"/>
        <w:gridCol w:w="2834"/>
        <w:gridCol w:w="1701"/>
        <w:gridCol w:w="2989"/>
      </w:tblGrid>
      <w:tr w14:paraId="58A22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tcBorders>
              <w:top w:val="single" w:color="auto" w:sz="8" w:space="0"/>
              <w:bottom w:val="single" w:color="auto" w:sz="8" w:space="0"/>
            </w:tcBorders>
            <w:vAlign w:val="center"/>
          </w:tcPr>
          <w:p w14:paraId="73508DB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bookmarkStart w:id="218" w:name="_Hlk198812871"/>
            <w:r>
              <w:rPr>
                <w:rFonts w:ascii="宋体" w:hAnsi="宋体"/>
                <w:kern w:val="0"/>
                <w:sz w:val="18"/>
                <w:szCs w:val="18"/>
              </w:rPr>
              <w:t>材料类型</w:t>
            </w:r>
          </w:p>
        </w:tc>
        <w:tc>
          <w:tcPr>
            <w:tcW w:w="1536" w:type="pct"/>
            <w:tcBorders>
              <w:top w:val="single" w:color="auto" w:sz="8" w:space="0"/>
              <w:bottom w:val="single" w:color="auto" w:sz="8" w:space="0"/>
            </w:tcBorders>
            <w:vAlign w:val="center"/>
          </w:tcPr>
          <w:p w14:paraId="745979B2">
            <w:pPr>
              <w:adjustRightInd/>
              <w:spacing w:line="240" w:lineRule="auto"/>
              <w:jc w:val="center"/>
              <w:rPr>
                <w:rFonts w:ascii="宋体" w:hAnsi="宋体"/>
                <w:kern w:val="0"/>
                <w:sz w:val="18"/>
                <w:szCs w:val="18"/>
              </w:rPr>
            </w:pPr>
            <w:r>
              <w:rPr>
                <w:rFonts w:ascii="宋体" w:hAnsi="宋体"/>
                <w:kern w:val="0"/>
                <w:sz w:val="18"/>
                <w:szCs w:val="18"/>
              </w:rPr>
              <w:t>检查项目</w:t>
            </w:r>
          </w:p>
        </w:tc>
        <w:tc>
          <w:tcPr>
            <w:tcW w:w="922" w:type="pct"/>
            <w:tcBorders>
              <w:top w:val="single" w:color="auto" w:sz="8" w:space="0"/>
              <w:bottom w:val="single" w:color="auto" w:sz="8" w:space="0"/>
            </w:tcBorders>
            <w:vAlign w:val="center"/>
          </w:tcPr>
          <w:p w14:paraId="279EA82A">
            <w:pPr>
              <w:adjustRightInd/>
              <w:spacing w:line="240" w:lineRule="auto"/>
              <w:jc w:val="center"/>
              <w:rPr>
                <w:rFonts w:ascii="宋体" w:hAnsi="宋体"/>
                <w:kern w:val="0"/>
                <w:sz w:val="18"/>
                <w:szCs w:val="18"/>
              </w:rPr>
            </w:pPr>
            <w:r>
              <w:rPr>
                <w:rFonts w:ascii="宋体" w:hAnsi="宋体"/>
                <w:kern w:val="0"/>
                <w:sz w:val="18"/>
                <w:szCs w:val="18"/>
              </w:rPr>
              <w:t>检查频度</w:t>
            </w:r>
          </w:p>
        </w:tc>
        <w:tc>
          <w:tcPr>
            <w:tcW w:w="1620" w:type="pct"/>
            <w:tcBorders>
              <w:top w:val="single" w:color="auto" w:sz="8" w:space="0"/>
              <w:bottom w:val="single" w:color="auto" w:sz="8" w:space="0"/>
            </w:tcBorders>
            <w:vAlign w:val="center"/>
          </w:tcPr>
          <w:p w14:paraId="0CA60889">
            <w:pPr>
              <w:adjustRightInd/>
              <w:spacing w:line="240" w:lineRule="auto"/>
              <w:jc w:val="center"/>
              <w:rPr>
                <w:rFonts w:ascii="宋体" w:hAnsi="宋体"/>
                <w:kern w:val="0"/>
                <w:sz w:val="18"/>
                <w:szCs w:val="18"/>
              </w:rPr>
            </w:pPr>
            <w:r>
              <w:rPr>
                <w:rFonts w:ascii="宋体" w:hAnsi="宋体"/>
                <w:kern w:val="0"/>
                <w:sz w:val="18"/>
                <w:szCs w:val="18"/>
              </w:rPr>
              <w:t>平行试验次数或一次试验的试样数</w:t>
            </w:r>
          </w:p>
        </w:tc>
      </w:tr>
      <w:tr w14:paraId="27235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restart"/>
            <w:tcBorders>
              <w:top w:val="single" w:color="auto" w:sz="8" w:space="0"/>
            </w:tcBorders>
            <w:vAlign w:val="center"/>
          </w:tcPr>
          <w:p w14:paraId="60068FD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粗集料</w:t>
            </w:r>
          </w:p>
        </w:tc>
        <w:tc>
          <w:tcPr>
            <w:tcW w:w="1536" w:type="pct"/>
            <w:tcBorders>
              <w:top w:val="single" w:color="auto" w:sz="8" w:space="0"/>
            </w:tcBorders>
            <w:vAlign w:val="center"/>
          </w:tcPr>
          <w:p w14:paraId="76C9C22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外观（石料品种，含泥量等）</w:t>
            </w:r>
          </w:p>
        </w:tc>
        <w:tc>
          <w:tcPr>
            <w:tcW w:w="922" w:type="pct"/>
            <w:tcBorders>
              <w:top w:val="single" w:color="auto" w:sz="8" w:space="0"/>
            </w:tcBorders>
            <w:vAlign w:val="center"/>
          </w:tcPr>
          <w:p w14:paraId="3529A30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随时</w:t>
            </w:r>
          </w:p>
        </w:tc>
        <w:tc>
          <w:tcPr>
            <w:tcW w:w="1620" w:type="pct"/>
            <w:tcBorders>
              <w:top w:val="single" w:color="auto" w:sz="8" w:space="0"/>
            </w:tcBorders>
            <w:vAlign w:val="center"/>
          </w:tcPr>
          <w:p w14:paraId="196086E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14:paraId="0C206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continue"/>
            <w:vAlign w:val="center"/>
          </w:tcPr>
          <w:p w14:paraId="11615EE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5F817C0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针片状颗粒含量</w:t>
            </w:r>
          </w:p>
        </w:tc>
        <w:tc>
          <w:tcPr>
            <w:tcW w:w="922" w:type="pct"/>
            <w:vAlign w:val="center"/>
          </w:tcPr>
          <w:p w14:paraId="057F414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随时</w:t>
            </w:r>
          </w:p>
        </w:tc>
        <w:tc>
          <w:tcPr>
            <w:tcW w:w="1620" w:type="pct"/>
            <w:vAlign w:val="center"/>
          </w:tcPr>
          <w:p w14:paraId="7DF71CFF">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3</w:t>
            </w:r>
          </w:p>
        </w:tc>
      </w:tr>
      <w:tr w14:paraId="0E1B4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continue"/>
            <w:vAlign w:val="center"/>
          </w:tcPr>
          <w:p w14:paraId="511AE84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104CB24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颗粒组成（筛分）</w:t>
            </w:r>
          </w:p>
        </w:tc>
        <w:tc>
          <w:tcPr>
            <w:tcW w:w="922" w:type="pct"/>
            <w:vAlign w:val="center"/>
          </w:tcPr>
          <w:p w14:paraId="695FE4C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1ED936E2">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636FE4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continue"/>
            <w:vAlign w:val="center"/>
          </w:tcPr>
          <w:p w14:paraId="48A31CE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34986AD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压碎值</w:t>
            </w:r>
          </w:p>
        </w:tc>
        <w:tc>
          <w:tcPr>
            <w:tcW w:w="922" w:type="pct"/>
            <w:vAlign w:val="center"/>
          </w:tcPr>
          <w:p w14:paraId="56467D6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6946FD4A">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64DD3B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continue"/>
            <w:vAlign w:val="center"/>
          </w:tcPr>
          <w:p w14:paraId="5695ADA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473366B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高温压碎值</w:t>
            </w:r>
          </w:p>
        </w:tc>
        <w:tc>
          <w:tcPr>
            <w:tcW w:w="922" w:type="pct"/>
            <w:vAlign w:val="center"/>
          </w:tcPr>
          <w:p w14:paraId="19F830CE">
            <w:pPr>
              <w:widowControl/>
              <w:tabs>
                <w:tab w:val="left" w:pos="1034"/>
                <w:tab w:val="center" w:pos="4201"/>
                <w:tab w:val="right" w:leader="dot" w:pos="9298"/>
              </w:tabs>
              <w:autoSpaceDE w:val="0"/>
              <w:autoSpaceDN w:val="0"/>
              <w:adjustRightInd/>
              <w:spacing w:line="240" w:lineRule="auto"/>
              <w:jc w:val="center"/>
              <w:rPr>
                <w:rFonts w:ascii="宋体" w:hAnsi="宋体"/>
                <w:color w:val="FF0000"/>
                <w:kern w:val="0"/>
                <w:sz w:val="18"/>
                <w:szCs w:val="18"/>
                <w:highlight w:val="yellow"/>
              </w:rPr>
            </w:pPr>
            <w:r>
              <w:rPr>
                <w:rFonts w:ascii="宋体" w:hAnsi="宋体"/>
                <w:kern w:val="0"/>
                <w:sz w:val="18"/>
                <w:szCs w:val="18"/>
              </w:rPr>
              <w:t>必要时</w:t>
            </w:r>
          </w:p>
        </w:tc>
        <w:tc>
          <w:tcPr>
            <w:tcW w:w="1620" w:type="pct"/>
            <w:vAlign w:val="center"/>
          </w:tcPr>
          <w:p w14:paraId="61751CC2">
            <w:pPr>
              <w:widowControl/>
              <w:tabs>
                <w:tab w:val="left" w:pos="1034"/>
                <w:tab w:val="center" w:pos="4201"/>
                <w:tab w:val="right" w:leader="dot" w:pos="9298"/>
              </w:tabs>
              <w:autoSpaceDE w:val="0"/>
              <w:autoSpaceDN w:val="0"/>
              <w:adjustRightInd/>
              <w:spacing w:line="240" w:lineRule="auto"/>
              <w:jc w:val="center"/>
              <w:rPr>
                <w:rFonts w:ascii="宋体" w:hAnsi="宋体"/>
                <w:color w:val="FF0000"/>
                <w:sz w:val="18"/>
                <w:szCs w:val="18"/>
                <w:highlight w:val="yellow"/>
                <w:lang w:val="de-DE"/>
              </w:rPr>
            </w:pPr>
            <w:r>
              <w:rPr>
                <w:rFonts w:ascii="宋体" w:hAnsi="宋体"/>
                <w:sz w:val="18"/>
                <w:szCs w:val="18"/>
                <w:lang w:val="de-DE"/>
              </w:rPr>
              <w:t>2</w:t>
            </w:r>
          </w:p>
        </w:tc>
      </w:tr>
      <w:tr w14:paraId="6D4E3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continue"/>
            <w:vAlign w:val="center"/>
          </w:tcPr>
          <w:p w14:paraId="1630711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5B6F5EB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洛杉矶磨耗损失</w:t>
            </w:r>
          </w:p>
        </w:tc>
        <w:tc>
          <w:tcPr>
            <w:tcW w:w="922" w:type="pct"/>
            <w:vAlign w:val="center"/>
          </w:tcPr>
          <w:p w14:paraId="5A925B4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3BC41B0B">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6F2334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22" w:type="pct"/>
            <w:vMerge w:val="continue"/>
            <w:vAlign w:val="center"/>
          </w:tcPr>
          <w:p w14:paraId="6CDD7FD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087D977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含水量</w:t>
            </w:r>
          </w:p>
        </w:tc>
        <w:tc>
          <w:tcPr>
            <w:tcW w:w="922" w:type="pct"/>
            <w:vAlign w:val="center"/>
          </w:tcPr>
          <w:p w14:paraId="5527C98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726A3293">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bookmarkEnd w:id="218"/>
    </w:tbl>
    <w:p w14:paraId="348ED4EB">
      <w:pPr>
        <w:pStyle w:val="114"/>
        <w:numPr>
          <w:ilvl w:val="0"/>
          <w:numId w:val="0"/>
        </w:numPr>
        <w:spacing w:before="156" w:after="156"/>
      </w:pPr>
      <w:r>
        <w:rPr>
          <w:rFonts w:hint="eastAsia"/>
        </w:rPr>
        <w:t>表10　施工过程中材料质量检查的项目和频度</w:t>
      </w:r>
      <w:r>
        <w:rPr>
          <w:rFonts w:hint="eastAsia" w:ascii="宋体" w:hAnsi="宋体" w:eastAsia="宋体"/>
        </w:rPr>
        <w:t>（续）</w:t>
      </w:r>
    </w:p>
    <w:tbl>
      <w:tblPr>
        <w:tblStyle w:val="27"/>
        <w:tblW w:w="481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700"/>
        <w:gridCol w:w="2834"/>
        <w:gridCol w:w="1701"/>
        <w:gridCol w:w="2989"/>
      </w:tblGrid>
      <w:tr w14:paraId="19B9C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tcBorders>
              <w:top w:val="single" w:color="auto" w:sz="8" w:space="0"/>
              <w:bottom w:val="single" w:color="auto" w:sz="8" w:space="0"/>
            </w:tcBorders>
            <w:vAlign w:val="center"/>
          </w:tcPr>
          <w:p w14:paraId="668B0B0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材料类型</w:t>
            </w:r>
          </w:p>
        </w:tc>
        <w:tc>
          <w:tcPr>
            <w:tcW w:w="1536" w:type="pct"/>
            <w:tcBorders>
              <w:top w:val="single" w:color="auto" w:sz="8" w:space="0"/>
              <w:bottom w:val="single" w:color="auto" w:sz="8" w:space="0"/>
            </w:tcBorders>
            <w:vAlign w:val="center"/>
          </w:tcPr>
          <w:p w14:paraId="7F329BE0">
            <w:pPr>
              <w:adjustRightInd/>
              <w:spacing w:line="240" w:lineRule="auto"/>
              <w:jc w:val="center"/>
              <w:rPr>
                <w:rFonts w:ascii="宋体" w:hAnsi="宋体"/>
                <w:kern w:val="0"/>
                <w:sz w:val="18"/>
                <w:szCs w:val="18"/>
              </w:rPr>
            </w:pPr>
            <w:r>
              <w:rPr>
                <w:rFonts w:ascii="宋体" w:hAnsi="宋体"/>
                <w:kern w:val="0"/>
                <w:sz w:val="18"/>
                <w:szCs w:val="18"/>
              </w:rPr>
              <w:t>检查项目</w:t>
            </w:r>
          </w:p>
        </w:tc>
        <w:tc>
          <w:tcPr>
            <w:tcW w:w="922" w:type="pct"/>
            <w:tcBorders>
              <w:top w:val="single" w:color="auto" w:sz="8" w:space="0"/>
              <w:bottom w:val="single" w:color="auto" w:sz="8" w:space="0"/>
            </w:tcBorders>
            <w:vAlign w:val="center"/>
          </w:tcPr>
          <w:p w14:paraId="5392D124">
            <w:pPr>
              <w:adjustRightInd/>
              <w:spacing w:line="240" w:lineRule="auto"/>
              <w:jc w:val="center"/>
              <w:rPr>
                <w:rFonts w:ascii="宋体" w:hAnsi="宋体"/>
                <w:kern w:val="0"/>
                <w:sz w:val="18"/>
                <w:szCs w:val="18"/>
              </w:rPr>
            </w:pPr>
            <w:r>
              <w:rPr>
                <w:rFonts w:ascii="宋体" w:hAnsi="宋体"/>
                <w:kern w:val="0"/>
                <w:sz w:val="18"/>
                <w:szCs w:val="18"/>
              </w:rPr>
              <w:t>检查频度</w:t>
            </w:r>
          </w:p>
        </w:tc>
        <w:tc>
          <w:tcPr>
            <w:tcW w:w="1620" w:type="pct"/>
            <w:tcBorders>
              <w:top w:val="single" w:color="auto" w:sz="8" w:space="0"/>
              <w:bottom w:val="single" w:color="auto" w:sz="8" w:space="0"/>
            </w:tcBorders>
            <w:vAlign w:val="center"/>
          </w:tcPr>
          <w:p w14:paraId="426E3A27">
            <w:pPr>
              <w:adjustRightInd/>
              <w:spacing w:line="240" w:lineRule="auto"/>
              <w:jc w:val="center"/>
              <w:rPr>
                <w:rFonts w:ascii="宋体" w:hAnsi="宋体"/>
                <w:kern w:val="0"/>
                <w:sz w:val="18"/>
                <w:szCs w:val="18"/>
              </w:rPr>
            </w:pPr>
            <w:r>
              <w:rPr>
                <w:rFonts w:ascii="宋体" w:hAnsi="宋体"/>
                <w:kern w:val="0"/>
                <w:sz w:val="18"/>
                <w:szCs w:val="18"/>
              </w:rPr>
              <w:t>平行试验次数或一次试验的试样数</w:t>
            </w:r>
          </w:p>
        </w:tc>
      </w:tr>
      <w:tr w14:paraId="1AC1D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restart"/>
            <w:vAlign w:val="center"/>
          </w:tcPr>
          <w:p w14:paraId="08591E9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细集料</w:t>
            </w:r>
          </w:p>
        </w:tc>
        <w:tc>
          <w:tcPr>
            <w:tcW w:w="1536" w:type="pct"/>
            <w:vAlign w:val="center"/>
          </w:tcPr>
          <w:p w14:paraId="5DF835B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颗粒组成（筛分）</w:t>
            </w:r>
          </w:p>
        </w:tc>
        <w:tc>
          <w:tcPr>
            <w:tcW w:w="922" w:type="pct"/>
            <w:vAlign w:val="center"/>
          </w:tcPr>
          <w:p w14:paraId="16318EA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随时</w:t>
            </w:r>
          </w:p>
        </w:tc>
        <w:tc>
          <w:tcPr>
            <w:tcW w:w="1620" w:type="pct"/>
            <w:vAlign w:val="center"/>
          </w:tcPr>
          <w:p w14:paraId="063AD9CA">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7BC2C7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1AA9A41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790838C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砂当量</w:t>
            </w:r>
          </w:p>
        </w:tc>
        <w:tc>
          <w:tcPr>
            <w:tcW w:w="922" w:type="pct"/>
            <w:vAlign w:val="center"/>
          </w:tcPr>
          <w:p w14:paraId="4B7810C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58276E64">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601155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7A70072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36D05E6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亚甲蓝值</w:t>
            </w:r>
          </w:p>
        </w:tc>
        <w:tc>
          <w:tcPr>
            <w:tcW w:w="922" w:type="pct"/>
            <w:vAlign w:val="center"/>
          </w:tcPr>
          <w:p w14:paraId="72C1940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0758430F">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0A0E4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140E469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02B717E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含水量</w:t>
            </w:r>
          </w:p>
        </w:tc>
        <w:tc>
          <w:tcPr>
            <w:tcW w:w="922" w:type="pct"/>
            <w:vAlign w:val="center"/>
          </w:tcPr>
          <w:p w14:paraId="451CB4D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795341C0">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392EC4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61CC60D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78AC9D2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松方单位重</w:t>
            </w:r>
          </w:p>
        </w:tc>
        <w:tc>
          <w:tcPr>
            <w:tcW w:w="922" w:type="pct"/>
            <w:vAlign w:val="center"/>
          </w:tcPr>
          <w:p w14:paraId="1115DB1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0E825620">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41BAD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restart"/>
            <w:vAlign w:val="center"/>
          </w:tcPr>
          <w:p w14:paraId="5235F35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填料</w:t>
            </w:r>
          </w:p>
        </w:tc>
        <w:tc>
          <w:tcPr>
            <w:tcW w:w="1536" w:type="pct"/>
            <w:vAlign w:val="center"/>
          </w:tcPr>
          <w:p w14:paraId="7AC42B7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外观</w:t>
            </w:r>
          </w:p>
        </w:tc>
        <w:tc>
          <w:tcPr>
            <w:tcW w:w="922" w:type="pct"/>
            <w:vAlign w:val="center"/>
          </w:tcPr>
          <w:p w14:paraId="52C4412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随时</w:t>
            </w:r>
          </w:p>
        </w:tc>
        <w:tc>
          <w:tcPr>
            <w:tcW w:w="1620" w:type="pct"/>
            <w:vAlign w:val="center"/>
          </w:tcPr>
          <w:p w14:paraId="4E057088">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w:t>
            </w:r>
          </w:p>
        </w:tc>
      </w:tr>
      <w:tr w14:paraId="2FAEB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38D758F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387CE62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小于</w:t>
            </w:r>
            <w:r>
              <w:rPr>
                <w:rFonts w:ascii="宋体" w:hAnsi="宋体"/>
                <w:kern w:val="0"/>
                <w:sz w:val="18"/>
                <w:szCs w:val="18"/>
              </w:rPr>
              <w:t>0.075</w:t>
            </w:r>
            <w:r>
              <w:rPr>
                <w:rFonts w:hint="eastAsia" w:ascii="MS Mincho" w:hAnsi="MS Mincho" w:eastAsia="MS Mincho" w:cs="MS Mincho"/>
                <w:kern w:val="0"/>
                <w:sz w:val="18"/>
                <w:szCs w:val="18"/>
              </w:rPr>
              <w:t> </w:t>
            </w:r>
            <w:r>
              <w:rPr>
                <w:rFonts w:ascii="宋体" w:hAnsi="宋体"/>
                <w:kern w:val="0"/>
                <w:sz w:val="18"/>
                <w:szCs w:val="18"/>
              </w:rPr>
              <w:t>mm含量</w:t>
            </w:r>
          </w:p>
        </w:tc>
        <w:tc>
          <w:tcPr>
            <w:tcW w:w="922" w:type="pct"/>
            <w:vAlign w:val="center"/>
          </w:tcPr>
          <w:p w14:paraId="2A95572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3E3C7058">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3EB4A6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5C46557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1148A77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含水量</w:t>
            </w:r>
          </w:p>
        </w:tc>
        <w:tc>
          <w:tcPr>
            <w:tcW w:w="922" w:type="pct"/>
            <w:vAlign w:val="center"/>
          </w:tcPr>
          <w:p w14:paraId="2B4E65A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799E0863">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3CBD43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restart"/>
            <w:vAlign w:val="center"/>
          </w:tcPr>
          <w:p w14:paraId="3366D20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纤维稳定剂</w:t>
            </w:r>
          </w:p>
        </w:tc>
        <w:tc>
          <w:tcPr>
            <w:tcW w:w="1536" w:type="pct"/>
          </w:tcPr>
          <w:p w14:paraId="0A94501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灰分含量</w:t>
            </w:r>
          </w:p>
        </w:tc>
        <w:tc>
          <w:tcPr>
            <w:tcW w:w="922" w:type="pct"/>
          </w:tcPr>
          <w:p w14:paraId="76D0DA9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必要时</w:t>
            </w:r>
          </w:p>
        </w:tc>
        <w:tc>
          <w:tcPr>
            <w:tcW w:w="1620" w:type="pct"/>
            <w:vAlign w:val="center"/>
          </w:tcPr>
          <w:p w14:paraId="455DDB92">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0FA19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43CB19C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tcPr>
          <w:p w14:paraId="61A9452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吸油率</w:t>
            </w:r>
          </w:p>
        </w:tc>
        <w:tc>
          <w:tcPr>
            <w:tcW w:w="922" w:type="pct"/>
          </w:tcPr>
          <w:p w14:paraId="35CEE32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必要时</w:t>
            </w:r>
          </w:p>
        </w:tc>
        <w:tc>
          <w:tcPr>
            <w:tcW w:w="1620" w:type="pct"/>
            <w:vAlign w:val="center"/>
          </w:tcPr>
          <w:p w14:paraId="5CED1DEB">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2E5B7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451901A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tcPr>
          <w:p w14:paraId="6B603AA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耐热性</w:t>
            </w:r>
          </w:p>
        </w:tc>
        <w:tc>
          <w:tcPr>
            <w:tcW w:w="922" w:type="pct"/>
          </w:tcPr>
          <w:p w14:paraId="65B614B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必要时</w:t>
            </w:r>
          </w:p>
        </w:tc>
        <w:tc>
          <w:tcPr>
            <w:tcW w:w="1620" w:type="pct"/>
            <w:vAlign w:val="center"/>
          </w:tcPr>
          <w:p w14:paraId="1545B5C8">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4F9D83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054299D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tcPr>
          <w:p w14:paraId="6714B4C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纤维含量及长度</w:t>
            </w:r>
          </w:p>
        </w:tc>
        <w:tc>
          <w:tcPr>
            <w:tcW w:w="922" w:type="pct"/>
          </w:tcPr>
          <w:p w14:paraId="20692BA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sz w:val="18"/>
                <w:szCs w:val="18"/>
              </w:rPr>
              <w:t>必要时</w:t>
            </w:r>
          </w:p>
        </w:tc>
        <w:tc>
          <w:tcPr>
            <w:tcW w:w="1620" w:type="pct"/>
            <w:vAlign w:val="center"/>
          </w:tcPr>
          <w:p w14:paraId="7DBCD0A7">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28C8D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restart"/>
            <w:vAlign w:val="center"/>
          </w:tcPr>
          <w:p w14:paraId="68D79B9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石油沥青</w:t>
            </w:r>
          </w:p>
        </w:tc>
        <w:tc>
          <w:tcPr>
            <w:tcW w:w="1536" w:type="pct"/>
            <w:vAlign w:val="center"/>
          </w:tcPr>
          <w:p w14:paraId="3279749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针入度（含老化后）</w:t>
            </w:r>
          </w:p>
        </w:tc>
        <w:tc>
          <w:tcPr>
            <w:tcW w:w="922" w:type="pct"/>
            <w:vAlign w:val="center"/>
          </w:tcPr>
          <w:p w14:paraId="787B3C5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1次</w:t>
            </w:r>
            <w:r>
              <w:rPr>
                <w:rFonts w:hint="eastAsia" w:ascii="宋体" w:hAnsi="宋体"/>
                <w:kern w:val="0"/>
                <w:sz w:val="18"/>
                <w:szCs w:val="18"/>
              </w:rPr>
              <w:t>/2</w:t>
            </w:r>
            <w:r>
              <w:rPr>
                <w:rFonts w:hint="eastAsia" w:ascii="MS Mincho" w:hAnsi="MS Mincho" w:eastAsia="MS Mincho" w:cs="MS Mincho"/>
                <w:kern w:val="0"/>
                <w:sz w:val="18"/>
                <w:szCs w:val="18"/>
              </w:rPr>
              <w:t> </w:t>
            </w:r>
            <w:r>
              <w:rPr>
                <w:rFonts w:hint="eastAsia" w:ascii="宋体" w:hAnsi="宋体"/>
                <w:kern w:val="0"/>
                <w:sz w:val="18"/>
                <w:szCs w:val="18"/>
              </w:rPr>
              <w:t>d～</w:t>
            </w:r>
            <w:r>
              <w:rPr>
                <w:rFonts w:ascii="宋体" w:hAnsi="宋体"/>
                <w:kern w:val="0"/>
                <w:sz w:val="18"/>
                <w:szCs w:val="18"/>
              </w:rPr>
              <w:t>3</w:t>
            </w:r>
            <w:r>
              <w:rPr>
                <w:rFonts w:hint="eastAsia" w:ascii="MS Mincho" w:hAnsi="MS Mincho" w:eastAsia="MS Mincho" w:cs="MS Mincho"/>
                <w:kern w:val="0"/>
                <w:sz w:val="18"/>
                <w:szCs w:val="18"/>
              </w:rPr>
              <w:t> </w:t>
            </w:r>
            <w:r>
              <w:rPr>
                <w:rFonts w:hint="eastAsia" w:ascii="宋体" w:hAnsi="宋体"/>
                <w:kern w:val="0"/>
                <w:sz w:val="18"/>
                <w:szCs w:val="18"/>
              </w:rPr>
              <w:t>d</w:t>
            </w:r>
          </w:p>
        </w:tc>
        <w:tc>
          <w:tcPr>
            <w:tcW w:w="1620" w:type="pct"/>
            <w:vAlign w:val="center"/>
          </w:tcPr>
          <w:p w14:paraId="2AC6D43C">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3</w:t>
            </w:r>
          </w:p>
        </w:tc>
      </w:tr>
      <w:tr w14:paraId="6799DC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3C7C4F7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0800602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软化点（含老化后）</w:t>
            </w:r>
          </w:p>
        </w:tc>
        <w:tc>
          <w:tcPr>
            <w:tcW w:w="922" w:type="pct"/>
            <w:vAlign w:val="center"/>
          </w:tcPr>
          <w:p w14:paraId="11761B5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1次</w:t>
            </w:r>
            <w:r>
              <w:rPr>
                <w:rFonts w:hint="eastAsia" w:ascii="宋体" w:hAnsi="宋体"/>
                <w:kern w:val="0"/>
                <w:sz w:val="18"/>
                <w:szCs w:val="18"/>
              </w:rPr>
              <w:t>/2</w:t>
            </w:r>
            <w:r>
              <w:rPr>
                <w:rFonts w:hint="eastAsia" w:ascii="MS Mincho" w:hAnsi="MS Mincho" w:eastAsia="MS Mincho" w:cs="MS Mincho"/>
                <w:kern w:val="0"/>
                <w:sz w:val="18"/>
                <w:szCs w:val="18"/>
              </w:rPr>
              <w:t> </w:t>
            </w:r>
            <w:r>
              <w:rPr>
                <w:rFonts w:hint="eastAsia" w:ascii="宋体" w:hAnsi="宋体"/>
                <w:kern w:val="0"/>
                <w:sz w:val="18"/>
                <w:szCs w:val="18"/>
              </w:rPr>
              <w:t>d～</w:t>
            </w:r>
            <w:r>
              <w:rPr>
                <w:rFonts w:ascii="宋体" w:hAnsi="宋体"/>
                <w:kern w:val="0"/>
                <w:sz w:val="18"/>
                <w:szCs w:val="18"/>
              </w:rPr>
              <w:t>3</w:t>
            </w:r>
            <w:r>
              <w:rPr>
                <w:rFonts w:hint="eastAsia" w:ascii="MS Mincho" w:hAnsi="MS Mincho" w:eastAsia="MS Mincho" w:cs="MS Mincho"/>
                <w:kern w:val="0"/>
                <w:sz w:val="18"/>
                <w:szCs w:val="18"/>
              </w:rPr>
              <w:t> </w:t>
            </w:r>
            <w:r>
              <w:rPr>
                <w:rFonts w:hint="eastAsia" w:ascii="宋体" w:hAnsi="宋体"/>
                <w:kern w:val="0"/>
                <w:sz w:val="18"/>
                <w:szCs w:val="18"/>
              </w:rPr>
              <w:t>d</w:t>
            </w:r>
          </w:p>
        </w:tc>
        <w:tc>
          <w:tcPr>
            <w:tcW w:w="1620" w:type="pct"/>
            <w:vAlign w:val="center"/>
          </w:tcPr>
          <w:p w14:paraId="7B041B57">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64229C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149AE97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15FB237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延度（含老化后）</w:t>
            </w:r>
          </w:p>
        </w:tc>
        <w:tc>
          <w:tcPr>
            <w:tcW w:w="922" w:type="pct"/>
            <w:vAlign w:val="center"/>
          </w:tcPr>
          <w:p w14:paraId="5E8B7C2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1次</w:t>
            </w:r>
            <w:r>
              <w:rPr>
                <w:rFonts w:hint="eastAsia" w:ascii="宋体" w:hAnsi="宋体"/>
                <w:kern w:val="0"/>
                <w:sz w:val="18"/>
                <w:szCs w:val="18"/>
              </w:rPr>
              <w:t>/2</w:t>
            </w:r>
            <w:r>
              <w:rPr>
                <w:rFonts w:hint="eastAsia" w:ascii="MS Mincho" w:hAnsi="MS Mincho" w:eastAsia="MS Mincho" w:cs="MS Mincho"/>
                <w:kern w:val="0"/>
                <w:sz w:val="18"/>
                <w:szCs w:val="18"/>
              </w:rPr>
              <w:t> </w:t>
            </w:r>
            <w:r>
              <w:rPr>
                <w:rFonts w:hint="eastAsia" w:ascii="宋体" w:hAnsi="宋体"/>
                <w:kern w:val="0"/>
                <w:sz w:val="18"/>
                <w:szCs w:val="18"/>
              </w:rPr>
              <w:t>d～</w:t>
            </w:r>
            <w:r>
              <w:rPr>
                <w:rFonts w:ascii="宋体" w:hAnsi="宋体"/>
                <w:kern w:val="0"/>
                <w:sz w:val="18"/>
                <w:szCs w:val="18"/>
              </w:rPr>
              <w:t>3</w:t>
            </w:r>
            <w:r>
              <w:rPr>
                <w:rFonts w:hint="eastAsia" w:ascii="MS Mincho" w:hAnsi="MS Mincho" w:eastAsia="MS Mincho" w:cs="MS Mincho"/>
                <w:kern w:val="0"/>
                <w:sz w:val="18"/>
                <w:szCs w:val="18"/>
              </w:rPr>
              <w:t> </w:t>
            </w:r>
            <w:r>
              <w:rPr>
                <w:rFonts w:hint="eastAsia" w:ascii="宋体" w:hAnsi="宋体"/>
                <w:kern w:val="0"/>
                <w:sz w:val="18"/>
                <w:szCs w:val="18"/>
              </w:rPr>
              <w:t>d</w:t>
            </w:r>
          </w:p>
        </w:tc>
        <w:tc>
          <w:tcPr>
            <w:tcW w:w="1620" w:type="pct"/>
            <w:vAlign w:val="center"/>
          </w:tcPr>
          <w:p w14:paraId="282665F8">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3</w:t>
            </w:r>
          </w:p>
        </w:tc>
      </w:tr>
      <w:tr w14:paraId="74C940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1ED530E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73C2636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含蜡量</w:t>
            </w:r>
          </w:p>
        </w:tc>
        <w:tc>
          <w:tcPr>
            <w:tcW w:w="922" w:type="pct"/>
            <w:vAlign w:val="center"/>
          </w:tcPr>
          <w:p w14:paraId="036BB9C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56C23DCA">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r>
              <w:rPr>
                <w:rFonts w:hint="eastAsia" w:ascii="宋体" w:hAnsi="宋体"/>
                <w:sz w:val="18"/>
                <w:szCs w:val="18"/>
                <w:lang w:val="de-DE"/>
              </w:rPr>
              <w:t>～</w:t>
            </w:r>
            <w:r>
              <w:rPr>
                <w:rFonts w:ascii="宋体" w:hAnsi="宋体"/>
                <w:sz w:val="18"/>
                <w:szCs w:val="18"/>
                <w:lang w:val="de-DE"/>
              </w:rPr>
              <w:t>3</w:t>
            </w:r>
          </w:p>
        </w:tc>
      </w:tr>
      <w:tr w14:paraId="7108A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restart"/>
            <w:vAlign w:val="center"/>
          </w:tcPr>
          <w:p w14:paraId="67CDB0E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改性沥青</w:t>
            </w:r>
          </w:p>
        </w:tc>
        <w:tc>
          <w:tcPr>
            <w:tcW w:w="1536" w:type="pct"/>
            <w:vAlign w:val="center"/>
          </w:tcPr>
          <w:p w14:paraId="5909374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针入度（含老化后）</w:t>
            </w:r>
          </w:p>
        </w:tc>
        <w:tc>
          <w:tcPr>
            <w:tcW w:w="922" w:type="pct"/>
            <w:vAlign w:val="center"/>
          </w:tcPr>
          <w:p w14:paraId="519BA8E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1次</w:t>
            </w:r>
            <w:r>
              <w:rPr>
                <w:rFonts w:hint="eastAsia" w:ascii="宋体" w:hAnsi="宋体"/>
                <w:kern w:val="0"/>
                <w:sz w:val="18"/>
                <w:szCs w:val="18"/>
              </w:rPr>
              <w:t>/1</w:t>
            </w:r>
            <w:r>
              <w:rPr>
                <w:rFonts w:hint="eastAsia" w:ascii="MS Mincho" w:hAnsi="MS Mincho" w:eastAsia="MS Mincho" w:cs="MS Mincho"/>
                <w:kern w:val="0"/>
                <w:sz w:val="18"/>
                <w:szCs w:val="18"/>
              </w:rPr>
              <w:t> </w:t>
            </w:r>
            <w:r>
              <w:rPr>
                <w:rFonts w:hint="eastAsia" w:ascii="宋体" w:hAnsi="宋体"/>
                <w:kern w:val="0"/>
                <w:sz w:val="18"/>
                <w:szCs w:val="18"/>
              </w:rPr>
              <w:t>d</w:t>
            </w:r>
          </w:p>
        </w:tc>
        <w:tc>
          <w:tcPr>
            <w:tcW w:w="1620" w:type="pct"/>
            <w:vAlign w:val="center"/>
          </w:tcPr>
          <w:p w14:paraId="5BAC0354">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3</w:t>
            </w:r>
          </w:p>
        </w:tc>
      </w:tr>
      <w:tr w14:paraId="2312EB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738A6E3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20B26E8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软化点（含老化后）</w:t>
            </w:r>
          </w:p>
        </w:tc>
        <w:tc>
          <w:tcPr>
            <w:tcW w:w="922" w:type="pct"/>
            <w:vAlign w:val="center"/>
          </w:tcPr>
          <w:p w14:paraId="7846D5F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1次</w:t>
            </w:r>
            <w:r>
              <w:rPr>
                <w:rFonts w:hint="eastAsia" w:ascii="宋体" w:hAnsi="宋体"/>
                <w:kern w:val="0"/>
                <w:sz w:val="18"/>
                <w:szCs w:val="18"/>
              </w:rPr>
              <w:t>/1</w:t>
            </w:r>
            <w:r>
              <w:rPr>
                <w:rFonts w:hint="eastAsia" w:ascii="MS Mincho" w:hAnsi="MS Mincho" w:eastAsia="MS Mincho" w:cs="MS Mincho"/>
                <w:kern w:val="0"/>
                <w:sz w:val="18"/>
                <w:szCs w:val="18"/>
              </w:rPr>
              <w:t> </w:t>
            </w:r>
            <w:r>
              <w:rPr>
                <w:rFonts w:hint="eastAsia" w:ascii="宋体" w:hAnsi="宋体"/>
                <w:kern w:val="0"/>
                <w:sz w:val="18"/>
                <w:szCs w:val="18"/>
              </w:rPr>
              <w:t>d</w:t>
            </w:r>
          </w:p>
        </w:tc>
        <w:tc>
          <w:tcPr>
            <w:tcW w:w="1620" w:type="pct"/>
            <w:vAlign w:val="center"/>
          </w:tcPr>
          <w:p w14:paraId="508BED14">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45E4E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27E1D2D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1D632CB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离析试验（对成品改性沥青）</w:t>
            </w:r>
          </w:p>
        </w:tc>
        <w:tc>
          <w:tcPr>
            <w:tcW w:w="922" w:type="pct"/>
            <w:vAlign w:val="center"/>
          </w:tcPr>
          <w:p w14:paraId="00B67C4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1次</w:t>
            </w:r>
            <w:r>
              <w:rPr>
                <w:rFonts w:hint="eastAsia" w:ascii="宋体" w:hAnsi="宋体"/>
                <w:kern w:val="0"/>
                <w:sz w:val="18"/>
                <w:szCs w:val="18"/>
              </w:rPr>
              <w:t>/7</w:t>
            </w:r>
            <w:r>
              <w:rPr>
                <w:rFonts w:hint="eastAsia" w:ascii="MS Mincho" w:hAnsi="MS Mincho" w:eastAsia="MS Mincho" w:cs="MS Mincho"/>
                <w:kern w:val="0"/>
                <w:sz w:val="18"/>
                <w:szCs w:val="18"/>
              </w:rPr>
              <w:t> </w:t>
            </w:r>
            <w:r>
              <w:rPr>
                <w:rFonts w:hint="eastAsia" w:ascii="宋体" w:hAnsi="宋体"/>
                <w:kern w:val="0"/>
                <w:sz w:val="18"/>
                <w:szCs w:val="18"/>
              </w:rPr>
              <w:t>d</w:t>
            </w:r>
          </w:p>
        </w:tc>
        <w:tc>
          <w:tcPr>
            <w:tcW w:w="1620" w:type="pct"/>
            <w:vAlign w:val="center"/>
          </w:tcPr>
          <w:p w14:paraId="73CACB44">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2</w:t>
            </w:r>
          </w:p>
        </w:tc>
      </w:tr>
      <w:tr w14:paraId="27E80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7A479AD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280B997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低温</w:t>
            </w:r>
            <w:r>
              <w:rPr>
                <w:rFonts w:ascii="宋体" w:hAnsi="宋体"/>
                <w:kern w:val="0"/>
                <w:sz w:val="18"/>
                <w:szCs w:val="18"/>
              </w:rPr>
              <w:t>延度（含老化后）</w:t>
            </w:r>
          </w:p>
        </w:tc>
        <w:tc>
          <w:tcPr>
            <w:tcW w:w="922" w:type="pct"/>
            <w:vAlign w:val="center"/>
          </w:tcPr>
          <w:p w14:paraId="600B848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必要时</w:t>
            </w:r>
          </w:p>
        </w:tc>
        <w:tc>
          <w:tcPr>
            <w:tcW w:w="1620" w:type="pct"/>
            <w:vAlign w:val="center"/>
          </w:tcPr>
          <w:p w14:paraId="34E748FE">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3</w:t>
            </w:r>
          </w:p>
        </w:tc>
      </w:tr>
      <w:tr w14:paraId="48873A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vAlign w:val="center"/>
          </w:tcPr>
          <w:p w14:paraId="0AC70E5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vAlign w:val="center"/>
          </w:tcPr>
          <w:p w14:paraId="117DA0B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弹性恢复</w:t>
            </w:r>
          </w:p>
        </w:tc>
        <w:tc>
          <w:tcPr>
            <w:tcW w:w="922" w:type="pct"/>
            <w:vAlign w:val="center"/>
          </w:tcPr>
          <w:p w14:paraId="1B8BF53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必要时</w:t>
            </w:r>
          </w:p>
        </w:tc>
        <w:tc>
          <w:tcPr>
            <w:tcW w:w="1620" w:type="pct"/>
            <w:vAlign w:val="center"/>
          </w:tcPr>
          <w:p w14:paraId="634AD2D6">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3</w:t>
            </w:r>
          </w:p>
        </w:tc>
      </w:tr>
      <w:tr w14:paraId="11B80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922" w:type="pct"/>
            <w:vMerge w:val="continue"/>
            <w:tcBorders>
              <w:bottom w:val="single" w:color="auto" w:sz="8" w:space="0"/>
            </w:tcBorders>
            <w:vAlign w:val="center"/>
          </w:tcPr>
          <w:p w14:paraId="06E5BDE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p>
        </w:tc>
        <w:tc>
          <w:tcPr>
            <w:tcW w:w="1536" w:type="pct"/>
            <w:tcBorders>
              <w:bottom w:val="single" w:color="auto" w:sz="8" w:space="0"/>
            </w:tcBorders>
            <w:vAlign w:val="center"/>
          </w:tcPr>
          <w:p w14:paraId="36B22A5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显微镜观察（现场改性沥青）</w:t>
            </w:r>
          </w:p>
        </w:tc>
        <w:tc>
          <w:tcPr>
            <w:tcW w:w="922" w:type="pct"/>
            <w:tcBorders>
              <w:bottom w:val="single" w:color="auto" w:sz="8" w:space="0"/>
            </w:tcBorders>
            <w:vAlign w:val="center"/>
          </w:tcPr>
          <w:p w14:paraId="6C0E4D8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随时</w:t>
            </w:r>
          </w:p>
        </w:tc>
        <w:tc>
          <w:tcPr>
            <w:tcW w:w="1620" w:type="pct"/>
            <w:tcBorders>
              <w:bottom w:val="single" w:color="auto" w:sz="8" w:space="0"/>
            </w:tcBorders>
            <w:vAlign w:val="center"/>
          </w:tcPr>
          <w:p w14:paraId="7BC00CCD">
            <w:pPr>
              <w:widowControl/>
              <w:tabs>
                <w:tab w:val="left" w:pos="1034"/>
                <w:tab w:val="center" w:pos="4201"/>
                <w:tab w:val="right" w:leader="dot" w:pos="9298"/>
              </w:tabs>
              <w:autoSpaceDE w:val="0"/>
              <w:autoSpaceDN w:val="0"/>
              <w:adjustRightInd/>
              <w:spacing w:line="240" w:lineRule="auto"/>
              <w:jc w:val="center"/>
              <w:rPr>
                <w:rFonts w:ascii="宋体" w:hAnsi="宋体"/>
                <w:sz w:val="18"/>
                <w:szCs w:val="18"/>
                <w:lang w:val="de-DE"/>
              </w:rPr>
            </w:pPr>
            <w:r>
              <w:rPr>
                <w:rFonts w:ascii="宋体" w:hAnsi="宋体"/>
                <w:sz w:val="18"/>
                <w:szCs w:val="18"/>
                <w:lang w:val="de-DE"/>
              </w:rPr>
              <w:t>—</w:t>
            </w:r>
          </w:p>
        </w:tc>
      </w:tr>
      <w:tr w14:paraId="694D09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5000" w:type="pct"/>
            <w:gridSpan w:val="4"/>
            <w:tcBorders>
              <w:top w:val="single" w:color="auto" w:sz="8" w:space="0"/>
              <w:bottom w:val="single" w:color="auto" w:sz="8" w:space="0"/>
            </w:tcBorders>
            <w:vAlign w:val="center"/>
          </w:tcPr>
          <w:p w14:paraId="5B911E87">
            <w:pPr>
              <w:pStyle w:val="181"/>
              <w:numPr>
                <w:ilvl w:val="255"/>
                <w:numId w:val="0"/>
              </w:numPr>
              <w:ind w:firstLine="360" w:firstLineChars="200"/>
              <w:rPr>
                <w:rFonts w:hAnsi="宋体"/>
                <w:lang w:val="de-DE"/>
              </w:rPr>
            </w:pPr>
            <w:r>
              <w:rPr>
                <w:rFonts w:hint="eastAsia" w:hAnsi="宋体"/>
              </w:rPr>
              <w:t>“随时”是指需要经常检查的项目，其检查频度应根据材料来源及质量波动情况由业主及监理确定；“必要时”是指施工各方任何一个部门对其质量发生怀疑，提出需要检查时，或是根据需要商定的检查频度。</w:t>
            </w:r>
          </w:p>
        </w:tc>
      </w:tr>
    </w:tbl>
    <w:p w14:paraId="4B668912">
      <w:pPr>
        <w:pStyle w:val="58"/>
        <w:ind w:firstLine="420"/>
      </w:pPr>
    </w:p>
    <w:p w14:paraId="37A56370">
      <w:pPr>
        <w:pStyle w:val="167"/>
        <w:ind w:left="0"/>
      </w:pPr>
      <w:r>
        <w:rPr>
          <w:rFonts w:hint="eastAsia"/>
        </w:rPr>
        <w:t>沥青混合料拌和厂生产过程应按表11规定的项目和频率检查沥青混合料产品的质量，如实计算产品的合格率。单点检查评价方法应符合相关试验规程的试样平行试验的要求。</w:t>
      </w:r>
    </w:p>
    <w:p w14:paraId="5EE488BE">
      <w:pPr>
        <w:pStyle w:val="114"/>
        <w:spacing w:before="156" w:after="156"/>
      </w:pPr>
      <w:r>
        <w:rPr>
          <w:rFonts w:hint="eastAsia"/>
        </w:rPr>
        <w:t>施工质量管理技术要求</w:t>
      </w:r>
    </w:p>
    <w:tbl>
      <w:tblPr>
        <w:tblStyle w:val="27"/>
        <w:tblW w:w="481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835"/>
        <w:gridCol w:w="2126"/>
        <w:gridCol w:w="2562"/>
      </w:tblGrid>
      <w:tr w14:paraId="612C97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701" w:type="dxa"/>
            <w:tcBorders>
              <w:top w:val="single" w:color="auto" w:sz="8" w:space="0"/>
              <w:bottom w:val="single" w:color="auto" w:sz="8" w:space="0"/>
            </w:tcBorders>
            <w:vAlign w:val="center"/>
          </w:tcPr>
          <w:p w14:paraId="005EBEB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bookmarkStart w:id="219" w:name="_Hlk198812962"/>
            <w:r>
              <w:rPr>
                <w:rFonts w:hint="eastAsia" w:ascii="宋体" w:hAnsi="宋体"/>
                <w:kern w:val="0"/>
                <w:sz w:val="18"/>
              </w:rPr>
              <w:t>检查</w:t>
            </w:r>
            <w:r>
              <w:rPr>
                <w:rFonts w:ascii="宋体" w:hAnsi="宋体"/>
                <w:kern w:val="0"/>
                <w:sz w:val="18"/>
              </w:rPr>
              <w:t>项目</w:t>
            </w:r>
          </w:p>
        </w:tc>
        <w:tc>
          <w:tcPr>
            <w:tcW w:w="2835" w:type="dxa"/>
            <w:tcBorders>
              <w:top w:val="single" w:color="auto" w:sz="8" w:space="0"/>
              <w:bottom w:val="single" w:color="auto" w:sz="8" w:space="0"/>
            </w:tcBorders>
            <w:vAlign w:val="center"/>
          </w:tcPr>
          <w:p w14:paraId="4DC61B5C">
            <w:pPr>
              <w:adjustRightInd/>
              <w:spacing w:line="240" w:lineRule="auto"/>
              <w:jc w:val="center"/>
              <w:rPr>
                <w:rFonts w:ascii="宋体" w:hAnsi="宋体"/>
                <w:kern w:val="0"/>
                <w:sz w:val="18"/>
              </w:rPr>
            </w:pPr>
            <w:r>
              <w:rPr>
                <w:rFonts w:ascii="宋体" w:hAnsi="宋体"/>
                <w:kern w:val="0"/>
                <w:sz w:val="18"/>
              </w:rPr>
              <w:t>检查频度及单点检验评价方法</w:t>
            </w:r>
          </w:p>
        </w:tc>
        <w:tc>
          <w:tcPr>
            <w:tcW w:w="2126" w:type="dxa"/>
            <w:tcBorders>
              <w:top w:val="single" w:color="auto" w:sz="8" w:space="0"/>
              <w:bottom w:val="single" w:color="auto" w:sz="8" w:space="0"/>
            </w:tcBorders>
            <w:vAlign w:val="center"/>
          </w:tcPr>
          <w:p w14:paraId="441485D2">
            <w:pPr>
              <w:adjustRightInd/>
              <w:spacing w:line="240" w:lineRule="auto"/>
              <w:jc w:val="center"/>
              <w:rPr>
                <w:rFonts w:ascii="宋体" w:hAnsi="宋体"/>
                <w:kern w:val="0"/>
                <w:sz w:val="18"/>
              </w:rPr>
            </w:pPr>
            <w:r>
              <w:rPr>
                <w:rFonts w:ascii="宋体" w:hAnsi="宋体"/>
                <w:kern w:val="0"/>
                <w:sz w:val="18"/>
              </w:rPr>
              <w:t>质量要求或允许偏差</w:t>
            </w:r>
          </w:p>
        </w:tc>
        <w:tc>
          <w:tcPr>
            <w:tcW w:w="2562" w:type="dxa"/>
            <w:tcBorders>
              <w:top w:val="single" w:color="auto" w:sz="8" w:space="0"/>
              <w:bottom w:val="single" w:color="auto" w:sz="8" w:space="0"/>
            </w:tcBorders>
            <w:vAlign w:val="center"/>
          </w:tcPr>
          <w:p w14:paraId="625E92A4">
            <w:pPr>
              <w:adjustRightInd/>
              <w:spacing w:line="240" w:lineRule="auto"/>
              <w:jc w:val="center"/>
              <w:rPr>
                <w:rFonts w:ascii="宋体" w:hAnsi="宋体"/>
                <w:kern w:val="0"/>
                <w:sz w:val="18"/>
              </w:rPr>
            </w:pPr>
            <w:r>
              <w:rPr>
                <w:rFonts w:ascii="宋体" w:hAnsi="宋体"/>
                <w:kern w:val="0"/>
                <w:sz w:val="18"/>
              </w:rPr>
              <w:t>试验方法</w:t>
            </w:r>
          </w:p>
        </w:tc>
      </w:tr>
      <w:tr w14:paraId="71EBA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701" w:type="dxa"/>
            <w:tcBorders>
              <w:top w:val="single" w:color="auto" w:sz="8" w:space="0"/>
            </w:tcBorders>
            <w:vAlign w:val="center"/>
          </w:tcPr>
          <w:p w14:paraId="06ADFED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混合料外观</w:t>
            </w:r>
          </w:p>
        </w:tc>
        <w:tc>
          <w:tcPr>
            <w:tcW w:w="2835" w:type="dxa"/>
            <w:tcBorders>
              <w:top w:val="single" w:color="auto" w:sz="8" w:space="0"/>
            </w:tcBorders>
            <w:vAlign w:val="center"/>
          </w:tcPr>
          <w:p w14:paraId="5C1646A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随时</w:t>
            </w:r>
          </w:p>
        </w:tc>
        <w:tc>
          <w:tcPr>
            <w:tcW w:w="2126" w:type="dxa"/>
            <w:tcBorders>
              <w:top w:val="single" w:color="auto" w:sz="8" w:space="0"/>
            </w:tcBorders>
            <w:vAlign w:val="center"/>
          </w:tcPr>
          <w:p w14:paraId="5DA0AE7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观察集料粗细、均匀性、离析、油石比、色泽、冒烟、有无花白料、油团等各种现象</w:t>
            </w:r>
          </w:p>
        </w:tc>
        <w:tc>
          <w:tcPr>
            <w:tcW w:w="2562" w:type="dxa"/>
            <w:tcBorders>
              <w:top w:val="single" w:color="auto" w:sz="8" w:space="0"/>
            </w:tcBorders>
            <w:vAlign w:val="center"/>
          </w:tcPr>
          <w:p w14:paraId="7851B72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目测</w:t>
            </w:r>
          </w:p>
        </w:tc>
      </w:tr>
      <w:bookmarkEnd w:id="219"/>
    </w:tbl>
    <w:p w14:paraId="7812231A">
      <w:pPr>
        <w:pStyle w:val="58"/>
        <w:ind w:firstLine="420"/>
      </w:pPr>
    </w:p>
    <w:p w14:paraId="6AD99899">
      <w:pPr>
        <w:pStyle w:val="114"/>
        <w:numPr>
          <w:ilvl w:val="0"/>
          <w:numId w:val="0"/>
        </w:numPr>
        <w:spacing w:before="156" w:after="156"/>
      </w:pPr>
      <w:r>
        <w:rPr>
          <w:rFonts w:hint="eastAsia"/>
        </w:rPr>
        <w:t>表11　施工质量管理技术要求</w:t>
      </w:r>
      <w:r>
        <w:rPr>
          <w:rFonts w:hint="eastAsia" w:ascii="宋体" w:hAnsi="宋体" w:eastAsia="宋体"/>
        </w:rPr>
        <w:t>（续）</w:t>
      </w:r>
    </w:p>
    <w:tbl>
      <w:tblPr>
        <w:tblStyle w:val="27"/>
        <w:tblW w:w="481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7"/>
        <w:gridCol w:w="1288"/>
        <w:gridCol w:w="2627"/>
        <w:gridCol w:w="1985"/>
        <w:gridCol w:w="2703"/>
      </w:tblGrid>
      <w:tr w14:paraId="7B0AED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904" w:type="dxa"/>
            <w:gridSpan w:val="2"/>
            <w:tcBorders>
              <w:top w:val="single" w:color="auto" w:sz="8" w:space="0"/>
              <w:bottom w:val="single" w:color="auto" w:sz="8" w:space="0"/>
            </w:tcBorders>
            <w:vAlign w:val="center"/>
          </w:tcPr>
          <w:p w14:paraId="38C0250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检查</w:t>
            </w:r>
            <w:r>
              <w:rPr>
                <w:rFonts w:ascii="宋体" w:hAnsi="宋体"/>
                <w:kern w:val="0"/>
                <w:sz w:val="18"/>
              </w:rPr>
              <w:t>项目</w:t>
            </w:r>
          </w:p>
        </w:tc>
        <w:tc>
          <w:tcPr>
            <w:tcW w:w="2627" w:type="dxa"/>
            <w:tcBorders>
              <w:top w:val="single" w:color="auto" w:sz="8" w:space="0"/>
              <w:bottom w:val="single" w:color="auto" w:sz="8" w:space="0"/>
            </w:tcBorders>
            <w:vAlign w:val="center"/>
          </w:tcPr>
          <w:p w14:paraId="3E59A30F">
            <w:pPr>
              <w:adjustRightInd/>
              <w:spacing w:line="240" w:lineRule="auto"/>
              <w:jc w:val="center"/>
              <w:rPr>
                <w:rFonts w:ascii="宋体" w:hAnsi="宋体"/>
                <w:kern w:val="0"/>
                <w:sz w:val="18"/>
              </w:rPr>
            </w:pPr>
            <w:r>
              <w:rPr>
                <w:rFonts w:ascii="宋体" w:hAnsi="宋体"/>
                <w:kern w:val="0"/>
                <w:sz w:val="18"/>
              </w:rPr>
              <w:t>检查频度及单点检验评价方法</w:t>
            </w:r>
          </w:p>
        </w:tc>
        <w:tc>
          <w:tcPr>
            <w:tcW w:w="1985" w:type="dxa"/>
            <w:tcBorders>
              <w:top w:val="single" w:color="auto" w:sz="8" w:space="0"/>
              <w:bottom w:val="single" w:color="auto" w:sz="8" w:space="0"/>
            </w:tcBorders>
            <w:vAlign w:val="center"/>
          </w:tcPr>
          <w:p w14:paraId="0FD159A8">
            <w:pPr>
              <w:adjustRightInd/>
              <w:spacing w:line="240" w:lineRule="auto"/>
              <w:jc w:val="center"/>
              <w:rPr>
                <w:rFonts w:ascii="宋体" w:hAnsi="宋体"/>
                <w:kern w:val="0"/>
                <w:sz w:val="18"/>
              </w:rPr>
            </w:pPr>
            <w:r>
              <w:rPr>
                <w:rFonts w:ascii="宋体" w:hAnsi="宋体"/>
                <w:kern w:val="0"/>
                <w:sz w:val="18"/>
              </w:rPr>
              <w:t>质量要求或允许偏差</w:t>
            </w:r>
          </w:p>
        </w:tc>
        <w:tc>
          <w:tcPr>
            <w:tcW w:w="2703" w:type="dxa"/>
            <w:tcBorders>
              <w:top w:val="single" w:color="auto" w:sz="8" w:space="0"/>
              <w:bottom w:val="single" w:color="auto" w:sz="8" w:space="0"/>
            </w:tcBorders>
            <w:vAlign w:val="center"/>
          </w:tcPr>
          <w:p w14:paraId="6D694863">
            <w:pPr>
              <w:adjustRightInd/>
              <w:spacing w:line="240" w:lineRule="auto"/>
              <w:jc w:val="center"/>
              <w:rPr>
                <w:rFonts w:ascii="宋体" w:hAnsi="宋体"/>
                <w:kern w:val="0"/>
                <w:sz w:val="18"/>
              </w:rPr>
            </w:pPr>
            <w:r>
              <w:rPr>
                <w:rFonts w:ascii="宋体" w:hAnsi="宋体"/>
                <w:kern w:val="0"/>
                <w:sz w:val="18"/>
              </w:rPr>
              <w:t>试验方法</w:t>
            </w:r>
          </w:p>
        </w:tc>
      </w:tr>
      <w:tr w14:paraId="1B2FEA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616" w:type="dxa"/>
            <w:vMerge w:val="restart"/>
            <w:vAlign w:val="center"/>
          </w:tcPr>
          <w:p w14:paraId="6D3EC68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拌和</w:t>
            </w:r>
          </w:p>
          <w:p w14:paraId="1C538A0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温度</w:t>
            </w:r>
          </w:p>
        </w:tc>
        <w:tc>
          <w:tcPr>
            <w:tcW w:w="1288" w:type="dxa"/>
            <w:vAlign w:val="center"/>
          </w:tcPr>
          <w:p w14:paraId="4BE4008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沥青、集料的加热温度</w:t>
            </w:r>
          </w:p>
        </w:tc>
        <w:tc>
          <w:tcPr>
            <w:tcW w:w="2627" w:type="dxa"/>
            <w:vAlign w:val="center"/>
          </w:tcPr>
          <w:p w14:paraId="04F5BCF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w:t>
            </w:r>
            <w:r>
              <w:rPr>
                <w:rFonts w:hint="eastAsia" w:ascii="宋体" w:hAnsi="宋体"/>
                <w:kern w:val="0"/>
                <w:sz w:val="18"/>
              </w:rPr>
              <w:t>盘</w:t>
            </w:r>
            <w:r>
              <w:rPr>
                <w:rFonts w:ascii="宋体" w:hAnsi="宋体"/>
                <w:kern w:val="0"/>
                <w:sz w:val="18"/>
              </w:rPr>
              <w:t>检测评定</w:t>
            </w:r>
          </w:p>
        </w:tc>
        <w:tc>
          <w:tcPr>
            <w:tcW w:w="1985" w:type="dxa"/>
            <w:vAlign w:val="center"/>
          </w:tcPr>
          <w:p w14:paraId="625E71B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符合</w:t>
            </w:r>
            <w:r>
              <w:rPr>
                <w:rFonts w:hint="eastAsia" w:ascii="宋体" w:hAnsi="宋体"/>
                <w:kern w:val="0"/>
                <w:sz w:val="18"/>
              </w:rPr>
              <w:t>设计要求</w:t>
            </w:r>
          </w:p>
        </w:tc>
        <w:tc>
          <w:tcPr>
            <w:tcW w:w="2703" w:type="dxa"/>
            <w:vAlign w:val="center"/>
          </w:tcPr>
          <w:p w14:paraId="5C3C951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传感器自动检测、显示并打印</w:t>
            </w:r>
          </w:p>
        </w:tc>
      </w:tr>
      <w:tr w14:paraId="2E364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616" w:type="dxa"/>
            <w:vMerge w:val="continue"/>
            <w:vAlign w:val="center"/>
          </w:tcPr>
          <w:p w14:paraId="185049D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Merge w:val="restart"/>
            <w:vAlign w:val="center"/>
          </w:tcPr>
          <w:p w14:paraId="5B2E796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混合料出厂温度</w:t>
            </w:r>
          </w:p>
        </w:tc>
        <w:tc>
          <w:tcPr>
            <w:tcW w:w="2627" w:type="dxa"/>
            <w:vAlign w:val="center"/>
          </w:tcPr>
          <w:p w14:paraId="20F34CC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逐车检测评定</w:t>
            </w:r>
          </w:p>
        </w:tc>
        <w:tc>
          <w:tcPr>
            <w:tcW w:w="1985" w:type="dxa"/>
            <w:vAlign w:val="center"/>
          </w:tcPr>
          <w:p w14:paraId="30D4BC7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符合设计要求</w:t>
            </w:r>
          </w:p>
        </w:tc>
        <w:tc>
          <w:tcPr>
            <w:tcW w:w="2703" w:type="dxa"/>
            <w:vAlign w:val="center"/>
          </w:tcPr>
          <w:p w14:paraId="6C4F031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传感器自动检测、显示并打印，按</w:t>
            </w:r>
            <w:r>
              <w:rPr>
                <w:rFonts w:hint="eastAsia" w:ascii="宋体" w:hAnsi="宋体"/>
                <w:sz w:val="18"/>
                <w:szCs w:val="18"/>
              </w:rPr>
              <w:t>JTG 3450—2019</w:t>
            </w:r>
            <w:r>
              <w:rPr>
                <w:rFonts w:ascii="宋体" w:hAnsi="宋体"/>
                <w:sz w:val="18"/>
                <w:szCs w:val="18"/>
              </w:rPr>
              <w:t xml:space="preserve"> </w:t>
            </w:r>
            <w:r>
              <w:rPr>
                <w:rFonts w:ascii="宋体" w:hAnsi="宋体"/>
                <w:kern w:val="0"/>
                <w:sz w:val="18"/>
              </w:rPr>
              <w:t>T0981人工检测</w:t>
            </w:r>
          </w:p>
        </w:tc>
      </w:tr>
      <w:tr w14:paraId="2ED8DD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73103A6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Merge w:val="continue"/>
            <w:vAlign w:val="center"/>
          </w:tcPr>
          <w:p w14:paraId="509C988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2627" w:type="dxa"/>
            <w:vAlign w:val="center"/>
          </w:tcPr>
          <w:p w14:paraId="2293F4C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w:t>
            </w:r>
            <w:r>
              <w:rPr>
                <w:rFonts w:hint="eastAsia" w:ascii="宋体" w:hAnsi="宋体"/>
                <w:kern w:val="0"/>
                <w:sz w:val="18"/>
              </w:rPr>
              <w:t>盘</w:t>
            </w:r>
            <w:r>
              <w:rPr>
                <w:rFonts w:ascii="宋体" w:hAnsi="宋体"/>
                <w:kern w:val="0"/>
                <w:sz w:val="18"/>
              </w:rPr>
              <w:t>测量记录，每天取平均值评定</w:t>
            </w:r>
          </w:p>
        </w:tc>
        <w:tc>
          <w:tcPr>
            <w:tcW w:w="1985" w:type="dxa"/>
            <w:vAlign w:val="center"/>
          </w:tcPr>
          <w:p w14:paraId="2121E3D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符合</w:t>
            </w:r>
            <w:r>
              <w:rPr>
                <w:rFonts w:hint="eastAsia" w:ascii="宋体" w:hAnsi="宋体"/>
                <w:kern w:val="0"/>
                <w:sz w:val="18"/>
              </w:rPr>
              <w:t>设计要求</w:t>
            </w:r>
          </w:p>
        </w:tc>
        <w:tc>
          <w:tcPr>
            <w:tcW w:w="2703" w:type="dxa"/>
            <w:vAlign w:val="center"/>
          </w:tcPr>
          <w:p w14:paraId="2C2F54E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传感器自动检测、显示并打印</w:t>
            </w:r>
          </w:p>
        </w:tc>
      </w:tr>
      <w:tr w14:paraId="2DB0BF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restart"/>
            <w:vAlign w:val="center"/>
          </w:tcPr>
          <w:p w14:paraId="50B8A74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矿料级配</w:t>
            </w:r>
          </w:p>
        </w:tc>
        <w:tc>
          <w:tcPr>
            <w:tcW w:w="1288" w:type="dxa"/>
            <w:vAlign w:val="center"/>
          </w:tcPr>
          <w:p w14:paraId="56F5C04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0.075</w:t>
            </w:r>
            <w:r>
              <w:rPr>
                <w:rFonts w:hint="eastAsia" w:ascii="MS Mincho" w:hAnsi="MS Mincho" w:eastAsia="MS Mincho" w:cs="MS Mincho"/>
                <w:kern w:val="0"/>
                <w:sz w:val="18"/>
              </w:rPr>
              <w:t> </w:t>
            </w:r>
            <w:r>
              <w:rPr>
                <w:rFonts w:ascii="宋体" w:hAnsi="宋体"/>
                <w:kern w:val="0"/>
                <w:sz w:val="18"/>
              </w:rPr>
              <w:t>mm</w:t>
            </w:r>
          </w:p>
        </w:tc>
        <w:tc>
          <w:tcPr>
            <w:tcW w:w="2627" w:type="dxa"/>
            <w:vMerge w:val="restart"/>
            <w:vAlign w:val="center"/>
          </w:tcPr>
          <w:p w14:paraId="2CDD74A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w:t>
            </w:r>
            <w:r>
              <w:rPr>
                <w:rFonts w:hint="eastAsia" w:ascii="宋体" w:hAnsi="宋体"/>
                <w:kern w:val="0"/>
                <w:sz w:val="18"/>
              </w:rPr>
              <w:t>盘</w:t>
            </w:r>
            <w:r>
              <w:rPr>
                <w:rFonts w:ascii="宋体" w:hAnsi="宋体"/>
                <w:kern w:val="0"/>
                <w:sz w:val="18"/>
              </w:rPr>
              <w:t>在线监测</w:t>
            </w:r>
          </w:p>
        </w:tc>
        <w:tc>
          <w:tcPr>
            <w:tcW w:w="1985" w:type="dxa"/>
            <w:vAlign w:val="center"/>
          </w:tcPr>
          <w:p w14:paraId="46D1DC6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±1％</w:t>
            </w:r>
          </w:p>
        </w:tc>
        <w:tc>
          <w:tcPr>
            <w:tcW w:w="2703" w:type="dxa"/>
            <w:vMerge w:val="restart"/>
            <w:vAlign w:val="center"/>
          </w:tcPr>
          <w:p w14:paraId="7C002C4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计算机采集数据计算</w:t>
            </w:r>
          </w:p>
        </w:tc>
      </w:tr>
      <w:tr w14:paraId="67598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70C07A7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2326C8A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highlight w:val="yellow"/>
              </w:rPr>
            </w:pPr>
            <w:r>
              <w:rPr>
                <w:rFonts w:hint="eastAsia" w:ascii="宋体" w:hAnsi="宋体"/>
                <w:kern w:val="0"/>
                <w:sz w:val="18"/>
              </w:rPr>
              <w:t>≤9.5</w:t>
            </w:r>
            <w:r>
              <w:rPr>
                <w:rFonts w:ascii="宋体" w:hAnsi="宋体"/>
                <w:kern w:val="0"/>
                <w:sz w:val="18"/>
              </w:rPr>
              <w:t> </w:t>
            </w:r>
            <w:r>
              <w:rPr>
                <w:rFonts w:hint="eastAsia" w:ascii="宋体" w:hAnsi="宋体"/>
                <w:kern w:val="0"/>
                <w:sz w:val="18"/>
              </w:rPr>
              <w:t>mm</w:t>
            </w:r>
          </w:p>
        </w:tc>
        <w:tc>
          <w:tcPr>
            <w:tcW w:w="2627" w:type="dxa"/>
            <w:vMerge w:val="continue"/>
            <w:vAlign w:val="center"/>
          </w:tcPr>
          <w:p w14:paraId="21EC62B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985" w:type="dxa"/>
            <w:vAlign w:val="center"/>
          </w:tcPr>
          <w:p w14:paraId="0494F61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w:t>
            </w:r>
            <w:r>
              <w:rPr>
                <w:rFonts w:hint="eastAsia" w:ascii="宋体" w:hAnsi="宋体"/>
                <w:kern w:val="0"/>
                <w:sz w:val="18"/>
              </w:rPr>
              <w:t>5</w:t>
            </w:r>
            <w:r>
              <w:rPr>
                <w:rFonts w:ascii="宋体" w:hAnsi="宋体"/>
                <w:kern w:val="0"/>
                <w:sz w:val="18"/>
              </w:rPr>
              <w:t>％</w:t>
            </w:r>
          </w:p>
        </w:tc>
        <w:tc>
          <w:tcPr>
            <w:tcW w:w="2703" w:type="dxa"/>
            <w:vMerge w:val="continue"/>
            <w:vAlign w:val="center"/>
          </w:tcPr>
          <w:p w14:paraId="61B13C0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4E9E3D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71F40CD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3A9E148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highlight w:val="yellow"/>
              </w:rPr>
            </w:pPr>
            <w:r>
              <w:rPr>
                <w:rFonts w:hint="eastAsia" w:ascii="宋体" w:hAnsi="宋体"/>
                <w:kern w:val="0"/>
                <w:sz w:val="18"/>
              </w:rPr>
              <w:t>＞9.5</w:t>
            </w:r>
            <w:r>
              <w:rPr>
                <w:rFonts w:hint="eastAsia" w:ascii="MS Mincho" w:hAnsi="MS Mincho" w:eastAsia="MS Mincho" w:cs="MS Mincho"/>
                <w:kern w:val="0"/>
                <w:sz w:val="18"/>
              </w:rPr>
              <w:t> </w:t>
            </w:r>
            <w:r>
              <w:rPr>
                <w:rFonts w:ascii="宋体" w:hAnsi="宋体"/>
                <w:kern w:val="0"/>
                <w:sz w:val="18"/>
              </w:rPr>
              <w:t>mm</w:t>
            </w:r>
          </w:p>
        </w:tc>
        <w:tc>
          <w:tcPr>
            <w:tcW w:w="2627" w:type="dxa"/>
            <w:vMerge w:val="continue"/>
            <w:vAlign w:val="center"/>
          </w:tcPr>
          <w:p w14:paraId="5D85AF3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985" w:type="dxa"/>
            <w:vAlign w:val="center"/>
          </w:tcPr>
          <w:p w14:paraId="6CA0CC9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w:t>
            </w:r>
            <w:r>
              <w:rPr>
                <w:rFonts w:hint="eastAsia" w:ascii="宋体" w:hAnsi="宋体"/>
                <w:kern w:val="0"/>
                <w:sz w:val="18"/>
              </w:rPr>
              <w:t>6</w:t>
            </w:r>
            <w:r>
              <w:rPr>
                <w:rFonts w:ascii="宋体" w:hAnsi="宋体"/>
                <w:kern w:val="0"/>
                <w:sz w:val="18"/>
              </w:rPr>
              <w:t>％</w:t>
            </w:r>
          </w:p>
        </w:tc>
        <w:tc>
          <w:tcPr>
            <w:tcW w:w="2703" w:type="dxa"/>
            <w:vMerge w:val="continue"/>
            <w:vAlign w:val="center"/>
          </w:tcPr>
          <w:p w14:paraId="6FD4B7D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0E569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279801B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0D87CBD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0.075</w:t>
            </w:r>
            <w:r>
              <w:rPr>
                <w:rFonts w:hint="eastAsia" w:ascii="MS Mincho" w:hAnsi="MS Mincho" w:eastAsia="MS Mincho" w:cs="MS Mincho"/>
                <w:kern w:val="0"/>
                <w:sz w:val="18"/>
              </w:rPr>
              <w:t> </w:t>
            </w:r>
            <w:r>
              <w:rPr>
                <w:rFonts w:ascii="宋体" w:hAnsi="宋体"/>
                <w:kern w:val="0"/>
                <w:sz w:val="18"/>
              </w:rPr>
              <w:t>mm</w:t>
            </w:r>
          </w:p>
        </w:tc>
        <w:tc>
          <w:tcPr>
            <w:tcW w:w="2627" w:type="dxa"/>
            <w:vMerge w:val="restart"/>
            <w:vAlign w:val="center"/>
          </w:tcPr>
          <w:p w14:paraId="2DA2B2B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w:t>
            </w:r>
            <w:r>
              <w:rPr>
                <w:rFonts w:hint="eastAsia" w:ascii="宋体" w:hAnsi="宋体"/>
                <w:kern w:val="0"/>
                <w:sz w:val="18"/>
              </w:rPr>
              <w:t>盘</w:t>
            </w:r>
            <w:r>
              <w:rPr>
                <w:rFonts w:ascii="宋体" w:hAnsi="宋体"/>
                <w:kern w:val="0"/>
                <w:sz w:val="18"/>
              </w:rPr>
              <w:t>检查，每天汇总1次取平均值评定</w:t>
            </w:r>
          </w:p>
        </w:tc>
        <w:tc>
          <w:tcPr>
            <w:tcW w:w="1985" w:type="dxa"/>
            <w:vAlign w:val="center"/>
          </w:tcPr>
          <w:p w14:paraId="55AF139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±1％</w:t>
            </w:r>
          </w:p>
        </w:tc>
        <w:tc>
          <w:tcPr>
            <w:tcW w:w="2703" w:type="dxa"/>
            <w:vMerge w:val="restart"/>
            <w:vAlign w:val="center"/>
          </w:tcPr>
          <w:p w14:paraId="38902E8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JTG</w:t>
            </w:r>
            <w:r>
              <w:rPr>
                <w:rFonts w:ascii="宋体" w:hAnsi="宋体"/>
                <w:kern w:val="0"/>
                <w:sz w:val="18"/>
              </w:rPr>
              <w:t xml:space="preserve"> </w:t>
            </w:r>
            <w:r>
              <w:rPr>
                <w:rFonts w:hint="eastAsia" w:ascii="宋体" w:hAnsi="宋体"/>
                <w:kern w:val="0"/>
                <w:sz w:val="18"/>
              </w:rPr>
              <w:t>F</w:t>
            </w:r>
            <w:r>
              <w:rPr>
                <w:rFonts w:ascii="宋体" w:hAnsi="宋体"/>
                <w:kern w:val="0"/>
                <w:sz w:val="18"/>
              </w:rPr>
              <w:t>40</w:t>
            </w:r>
            <w:r>
              <w:rPr>
                <w:rFonts w:hint="eastAsia" w:ascii="宋体" w:hAnsi="宋体"/>
                <w:kern w:val="0"/>
                <w:sz w:val="18"/>
              </w:rPr>
              <w:t>—2004</w:t>
            </w:r>
            <w:r>
              <w:rPr>
                <w:rFonts w:ascii="宋体" w:hAnsi="宋体"/>
                <w:kern w:val="0"/>
                <w:sz w:val="18"/>
              </w:rPr>
              <w:t xml:space="preserve"> </w:t>
            </w:r>
            <w:r>
              <w:rPr>
                <w:rFonts w:hint="eastAsia" w:ascii="宋体" w:hAnsi="宋体"/>
                <w:kern w:val="0"/>
                <w:sz w:val="18"/>
              </w:rPr>
              <w:t>附录G</w:t>
            </w:r>
            <w:r>
              <w:rPr>
                <w:rFonts w:ascii="宋体" w:hAnsi="宋体"/>
                <w:kern w:val="0"/>
                <w:sz w:val="18"/>
              </w:rPr>
              <w:t>总量检验</w:t>
            </w:r>
          </w:p>
        </w:tc>
      </w:tr>
      <w:tr w14:paraId="3941E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2B558CB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0C03BE7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≤9.5</w:t>
            </w:r>
            <w:r>
              <w:rPr>
                <w:rFonts w:ascii="宋体" w:hAnsi="宋体"/>
                <w:kern w:val="0"/>
                <w:sz w:val="18"/>
              </w:rPr>
              <w:t> </w:t>
            </w:r>
            <w:r>
              <w:rPr>
                <w:rFonts w:hint="eastAsia" w:ascii="宋体" w:hAnsi="宋体"/>
                <w:kern w:val="0"/>
                <w:sz w:val="18"/>
              </w:rPr>
              <w:t>mm</w:t>
            </w:r>
          </w:p>
        </w:tc>
        <w:tc>
          <w:tcPr>
            <w:tcW w:w="2627" w:type="dxa"/>
            <w:vMerge w:val="continue"/>
            <w:vAlign w:val="center"/>
          </w:tcPr>
          <w:p w14:paraId="06ADC1D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985" w:type="dxa"/>
            <w:vAlign w:val="center"/>
          </w:tcPr>
          <w:p w14:paraId="52F2A90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±2％</w:t>
            </w:r>
          </w:p>
        </w:tc>
        <w:tc>
          <w:tcPr>
            <w:tcW w:w="2703" w:type="dxa"/>
            <w:vMerge w:val="continue"/>
            <w:vAlign w:val="center"/>
          </w:tcPr>
          <w:p w14:paraId="424A58E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05812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2FA590A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7DAA745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＞9.5</w:t>
            </w:r>
            <w:r>
              <w:rPr>
                <w:rFonts w:hint="eastAsia" w:ascii="MS Mincho" w:hAnsi="MS Mincho" w:eastAsia="MS Mincho" w:cs="MS Mincho"/>
                <w:kern w:val="0"/>
                <w:sz w:val="18"/>
              </w:rPr>
              <w:t> </w:t>
            </w:r>
            <w:r>
              <w:rPr>
                <w:rFonts w:ascii="宋体" w:hAnsi="宋体"/>
                <w:kern w:val="0"/>
                <w:sz w:val="18"/>
              </w:rPr>
              <w:t>mm</w:t>
            </w:r>
          </w:p>
        </w:tc>
        <w:tc>
          <w:tcPr>
            <w:tcW w:w="2627" w:type="dxa"/>
            <w:vMerge w:val="continue"/>
            <w:vAlign w:val="center"/>
          </w:tcPr>
          <w:p w14:paraId="0F3EE1A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985" w:type="dxa"/>
            <w:vAlign w:val="center"/>
          </w:tcPr>
          <w:p w14:paraId="7A62F99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w:t>
            </w:r>
            <w:r>
              <w:rPr>
                <w:rFonts w:hint="eastAsia" w:ascii="宋体" w:hAnsi="宋体"/>
                <w:kern w:val="0"/>
                <w:sz w:val="18"/>
              </w:rPr>
              <w:t>3</w:t>
            </w:r>
            <w:r>
              <w:rPr>
                <w:rFonts w:ascii="宋体" w:hAnsi="宋体"/>
                <w:kern w:val="0"/>
                <w:sz w:val="18"/>
              </w:rPr>
              <w:t>％</w:t>
            </w:r>
          </w:p>
        </w:tc>
        <w:tc>
          <w:tcPr>
            <w:tcW w:w="2703" w:type="dxa"/>
            <w:vMerge w:val="continue"/>
            <w:vAlign w:val="center"/>
          </w:tcPr>
          <w:p w14:paraId="420CF0D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2FF5F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471B233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77234C3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0.075</w:t>
            </w:r>
            <w:r>
              <w:rPr>
                <w:rFonts w:hint="eastAsia" w:ascii="MS Mincho" w:hAnsi="MS Mincho" w:eastAsia="MS Mincho" w:cs="MS Mincho"/>
                <w:kern w:val="0"/>
                <w:sz w:val="18"/>
              </w:rPr>
              <w:t> </w:t>
            </w:r>
            <w:r>
              <w:rPr>
                <w:rFonts w:ascii="宋体" w:hAnsi="宋体"/>
                <w:kern w:val="0"/>
                <w:sz w:val="18"/>
              </w:rPr>
              <w:t>mm</w:t>
            </w:r>
          </w:p>
        </w:tc>
        <w:tc>
          <w:tcPr>
            <w:tcW w:w="2627" w:type="dxa"/>
            <w:vMerge w:val="restart"/>
            <w:vAlign w:val="center"/>
          </w:tcPr>
          <w:p w14:paraId="2031077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每台拌和机</w:t>
            </w:r>
            <w:r>
              <w:rPr>
                <w:rFonts w:hint="eastAsia" w:ascii="宋体" w:hAnsi="宋体"/>
                <w:kern w:val="0"/>
                <w:sz w:val="18"/>
              </w:rPr>
              <w:t>每天上午、下午各一次或每1</w:t>
            </w:r>
            <w:r>
              <w:rPr>
                <w:rFonts w:hint="eastAsia" w:ascii="MS Mincho" w:hAnsi="MS Mincho" w:eastAsia="MS Mincho" w:cs="MS Mincho"/>
                <w:kern w:val="0"/>
                <w:sz w:val="18"/>
              </w:rPr>
              <w:t> </w:t>
            </w:r>
            <w:r>
              <w:rPr>
                <w:rFonts w:ascii="宋体" w:hAnsi="宋体"/>
                <w:kern w:val="0"/>
                <w:sz w:val="18"/>
              </w:rPr>
              <w:t>000</w:t>
            </w:r>
            <w:r>
              <w:rPr>
                <w:rFonts w:hint="eastAsia" w:ascii="MS Mincho" w:hAnsi="MS Mincho" w:eastAsia="MS Mincho" w:cs="MS Mincho"/>
                <w:kern w:val="0"/>
                <w:sz w:val="18"/>
              </w:rPr>
              <w:t> </w:t>
            </w:r>
            <w:r>
              <w:rPr>
                <w:rFonts w:hint="eastAsia" w:ascii="宋体" w:hAnsi="宋体"/>
                <w:kern w:val="0"/>
                <w:sz w:val="18"/>
              </w:rPr>
              <w:t>t检测一次，以2个试样的平均值评定</w:t>
            </w:r>
          </w:p>
        </w:tc>
        <w:tc>
          <w:tcPr>
            <w:tcW w:w="1985" w:type="dxa"/>
            <w:vAlign w:val="center"/>
          </w:tcPr>
          <w:p w14:paraId="13F866B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±1％</w:t>
            </w:r>
          </w:p>
        </w:tc>
        <w:tc>
          <w:tcPr>
            <w:tcW w:w="2703" w:type="dxa"/>
            <w:vMerge w:val="restart"/>
            <w:vAlign w:val="center"/>
          </w:tcPr>
          <w:p w14:paraId="3B89C92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sz w:val="18"/>
                <w:szCs w:val="18"/>
              </w:rPr>
              <w:t>JTG E20—2011</w:t>
            </w:r>
            <w:r>
              <w:rPr>
                <w:rFonts w:ascii="宋体" w:hAnsi="宋体"/>
                <w:sz w:val="18"/>
                <w:szCs w:val="18"/>
              </w:rPr>
              <w:t xml:space="preserve"> </w:t>
            </w:r>
            <w:r>
              <w:rPr>
                <w:rFonts w:ascii="宋体" w:hAnsi="宋体"/>
                <w:kern w:val="0"/>
                <w:sz w:val="18"/>
              </w:rPr>
              <w:t>T0725抽提筛分与标准级配比较的差</w:t>
            </w:r>
          </w:p>
        </w:tc>
      </w:tr>
      <w:tr w14:paraId="04AF79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09E526C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370E5D5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highlight w:val="yellow"/>
              </w:rPr>
            </w:pPr>
            <w:r>
              <w:rPr>
                <w:rFonts w:hint="eastAsia" w:ascii="宋体" w:hAnsi="宋体"/>
                <w:kern w:val="0"/>
                <w:sz w:val="18"/>
              </w:rPr>
              <w:t>≤9.5</w:t>
            </w:r>
            <w:r>
              <w:rPr>
                <w:rFonts w:ascii="宋体" w:hAnsi="宋体"/>
                <w:kern w:val="0"/>
                <w:sz w:val="18"/>
              </w:rPr>
              <w:t> </w:t>
            </w:r>
            <w:r>
              <w:rPr>
                <w:rFonts w:hint="eastAsia" w:ascii="宋体" w:hAnsi="宋体"/>
                <w:kern w:val="0"/>
                <w:sz w:val="18"/>
              </w:rPr>
              <w:t>mm</w:t>
            </w:r>
          </w:p>
        </w:tc>
        <w:tc>
          <w:tcPr>
            <w:tcW w:w="2627" w:type="dxa"/>
            <w:vMerge w:val="continue"/>
            <w:vAlign w:val="center"/>
          </w:tcPr>
          <w:p w14:paraId="3D1EB3E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985" w:type="dxa"/>
            <w:vAlign w:val="center"/>
          </w:tcPr>
          <w:p w14:paraId="5DE8B00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±4％</w:t>
            </w:r>
          </w:p>
        </w:tc>
        <w:tc>
          <w:tcPr>
            <w:tcW w:w="2703" w:type="dxa"/>
            <w:vMerge w:val="continue"/>
            <w:vAlign w:val="center"/>
          </w:tcPr>
          <w:p w14:paraId="42B7150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566ED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16" w:type="dxa"/>
            <w:vMerge w:val="continue"/>
            <w:vAlign w:val="center"/>
          </w:tcPr>
          <w:p w14:paraId="5ACB6AC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88" w:type="dxa"/>
            <w:vAlign w:val="center"/>
          </w:tcPr>
          <w:p w14:paraId="48CD69E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highlight w:val="yellow"/>
              </w:rPr>
            </w:pPr>
            <w:r>
              <w:rPr>
                <w:rFonts w:hint="eastAsia" w:ascii="宋体" w:hAnsi="宋体"/>
                <w:kern w:val="0"/>
                <w:sz w:val="18"/>
              </w:rPr>
              <w:t>＞9.5</w:t>
            </w:r>
            <w:r>
              <w:rPr>
                <w:rFonts w:hint="eastAsia" w:ascii="MS Mincho" w:hAnsi="MS Mincho" w:eastAsia="MS Mincho" w:cs="MS Mincho"/>
                <w:kern w:val="0"/>
                <w:sz w:val="18"/>
              </w:rPr>
              <w:t> </w:t>
            </w:r>
            <w:r>
              <w:rPr>
                <w:rFonts w:ascii="宋体" w:hAnsi="宋体"/>
                <w:kern w:val="0"/>
                <w:sz w:val="18"/>
              </w:rPr>
              <w:t>mm</w:t>
            </w:r>
          </w:p>
        </w:tc>
        <w:tc>
          <w:tcPr>
            <w:tcW w:w="2627" w:type="dxa"/>
            <w:vMerge w:val="continue"/>
            <w:vAlign w:val="center"/>
          </w:tcPr>
          <w:p w14:paraId="0B63BF0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985" w:type="dxa"/>
            <w:vAlign w:val="center"/>
          </w:tcPr>
          <w:p w14:paraId="0CA4EED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±5％</w:t>
            </w:r>
          </w:p>
        </w:tc>
        <w:tc>
          <w:tcPr>
            <w:tcW w:w="2703" w:type="dxa"/>
            <w:vMerge w:val="continue"/>
            <w:vAlign w:val="center"/>
          </w:tcPr>
          <w:p w14:paraId="2E6AE8B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4E895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904" w:type="dxa"/>
            <w:gridSpan w:val="2"/>
            <w:vMerge w:val="restart"/>
            <w:vAlign w:val="center"/>
          </w:tcPr>
          <w:p w14:paraId="74B0FA3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沥青用量</w:t>
            </w:r>
          </w:p>
        </w:tc>
        <w:tc>
          <w:tcPr>
            <w:tcW w:w="2627" w:type="dxa"/>
            <w:vAlign w:val="center"/>
          </w:tcPr>
          <w:p w14:paraId="447C347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w:t>
            </w:r>
            <w:r>
              <w:rPr>
                <w:rFonts w:hint="eastAsia" w:ascii="宋体" w:hAnsi="宋体"/>
                <w:kern w:val="0"/>
                <w:sz w:val="18"/>
              </w:rPr>
              <w:t>盘</w:t>
            </w:r>
            <w:r>
              <w:rPr>
                <w:rFonts w:ascii="宋体" w:hAnsi="宋体"/>
                <w:kern w:val="0"/>
                <w:sz w:val="18"/>
              </w:rPr>
              <w:t>在线监测</w:t>
            </w:r>
          </w:p>
        </w:tc>
        <w:tc>
          <w:tcPr>
            <w:tcW w:w="1985" w:type="dxa"/>
            <w:vAlign w:val="center"/>
          </w:tcPr>
          <w:p w14:paraId="6BF4EE3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±0.3％</w:t>
            </w:r>
          </w:p>
        </w:tc>
        <w:tc>
          <w:tcPr>
            <w:tcW w:w="2703" w:type="dxa"/>
            <w:vAlign w:val="center"/>
          </w:tcPr>
          <w:p w14:paraId="2E6407B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计算机采集数据计算</w:t>
            </w:r>
          </w:p>
        </w:tc>
      </w:tr>
      <w:tr w14:paraId="6A8E42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1904" w:type="dxa"/>
            <w:gridSpan w:val="2"/>
            <w:vMerge w:val="continue"/>
            <w:vAlign w:val="center"/>
          </w:tcPr>
          <w:p w14:paraId="04E9AC9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2627" w:type="dxa"/>
            <w:vAlign w:val="center"/>
          </w:tcPr>
          <w:p w14:paraId="138F9E6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逐</w:t>
            </w:r>
            <w:r>
              <w:rPr>
                <w:rFonts w:hint="eastAsia" w:ascii="宋体" w:hAnsi="宋体"/>
                <w:kern w:val="0"/>
                <w:sz w:val="18"/>
              </w:rPr>
              <w:t>盘</w:t>
            </w:r>
            <w:r>
              <w:rPr>
                <w:rFonts w:ascii="宋体" w:hAnsi="宋体"/>
                <w:kern w:val="0"/>
                <w:sz w:val="18"/>
              </w:rPr>
              <w:t>检查，每天汇总1次取平均值评定</w:t>
            </w:r>
          </w:p>
        </w:tc>
        <w:tc>
          <w:tcPr>
            <w:tcW w:w="1985" w:type="dxa"/>
            <w:vAlign w:val="center"/>
          </w:tcPr>
          <w:p w14:paraId="07BBFAE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±0.1</w:t>
            </w:r>
            <w:r>
              <w:rPr>
                <w:rFonts w:hint="eastAsia" w:ascii="宋体" w:hAnsi="宋体"/>
                <w:kern w:val="0"/>
                <w:sz w:val="18"/>
              </w:rPr>
              <w:t>5</w:t>
            </w:r>
            <w:r>
              <w:rPr>
                <w:rFonts w:ascii="宋体" w:hAnsi="宋体"/>
                <w:kern w:val="0"/>
                <w:sz w:val="18"/>
              </w:rPr>
              <w:t>％</w:t>
            </w:r>
          </w:p>
        </w:tc>
        <w:tc>
          <w:tcPr>
            <w:tcW w:w="2703" w:type="dxa"/>
            <w:vAlign w:val="center"/>
          </w:tcPr>
          <w:p w14:paraId="51955FE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JTG F40—2004</w:t>
            </w:r>
            <w:r>
              <w:rPr>
                <w:rFonts w:hint="eastAsia" w:ascii="宋体" w:hAnsi="宋体"/>
                <w:kern w:val="0"/>
                <w:sz w:val="18"/>
              </w:rPr>
              <w:t xml:space="preserve"> 附录F</w:t>
            </w:r>
            <w:r>
              <w:rPr>
                <w:rFonts w:ascii="宋体" w:hAnsi="宋体"/>
                <w:kern w:val="0"/>
                <w:sz w:val="18"/>
              </w:rPr>
              <w:t>总量检验</w:t>
            </w:r>
          </w:p>
        </w:tc>
      </w:tr>
      <w:tr w14:paraId="5A120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0" w:hRule="atLeast"/>
          <w:tblHeader/>
          <w:jc w:val="center"/>
        </w:trPr>
        <w:tc>
          <w:tcPr>
            <w:tcW w:w="1904" w:type="dxa"/>
            <w:gridSpan w:val="2"/>
            <w:vMerge w:val="continue"/>
            <w:vAlign w:val="center"/>
          </w:tcPr>
          <w:p w14:paraId="6EA81FD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2627" w:type="dxa"/>
            <w:vAlign w:val="center"/>
          </w:tcPr>
          <w:p w14:paraId="42D9F86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每台拌和机</w:t>
            </w:r>
            <w:r>
              <w:rPr>
                <w:rFonts w:hint="eastAsia" w:ascii="宋体" w:hAnsi="宋体"/>
                <w:kern w:val="0"/>
                <w:sz w:val="18"/>
              </w:rPr>
              <w:t>每天上午、下午各一次或每1</w:t>
            </w:r>
            <w:r>
              <w:rPr>
                <w:rFonts w:hint="eastAsia" w:ascii="MS Mincho" w:hAnsi="MS Mincho" w:eastAsia="MS Mincho" w:cs="MS Mincho"/>
                <w:kern w:val="0"/>
                <w:sz w:val="18"/>
              </w:rPr>
              <w:t> </w:t>
            </w:r>
            <w:r>
              <w:rPr>
                <w:rFonts w:ascii="宋体" w:hAnsi="宋体"/>
                <w:kern w:val="0"/>
                <w:sz w:val="18"/>
              </w:rPr>
              <w:t>000</w:t>
            </w:r>
            <w:r>
              <w:rPr>
                <w:rFonts w:hint="eastAsia" w:ascii="MS Mincho" w:hAnsi="MS Mincho" w:eastAsia="MS Mincho" w:cs="MS Mincho"/>
                <w:kern w:val="0"/>
                <w:sz w:val="18"/>
              </w:rPr>
              <w:t> </w:t>
            </w:r>
            <w:r>
              <w:rPr>
                <w:rFonts w:hint="eastAsia" w:ascii="宋体" w:hAnsi="宋体"/>
                <w:kern w:val="0"/>
                <w:sz w:val="18"/>
              </w:rPr>
              <w:t>t检测一次，以2个试样的平均值评定</w:t>
            </w:r>
          </w:p>
        </w:tc>
        <w:tc>
          <w:tcPr>
            <w:tcW w:w="1985" w:type="dxa"/>
            <w:vAlign w:val="center"/>
          </w:tcPr>
          <w:p w14:paraId="3F1B994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±0.2％</w:t>
            </w:r>
          </w:p>
        </w:tc>
        <w:tc>
          <w:tcPr>
            <w:tcW w:w="2703" w:type="dxa"/>
            <w:vAlign w:val="center"/>
          </w:tcPr>
          <w:p w14:paraId="20D511E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lang w:val="de-DE"/>
              </w:rPr>
            </w:pPr>
            <w:r>
              <w:rPr>
                <w:rFonts w:hint="eastAsia" w:ascii="宋体" w:hAnsi="宋体"/>
                <w:sz w:val="18"/>
                <w:szCs w:val="18"/>
                <w:lang w:val="de-DE"/>
              </w:rPr>
              <w:t>JTG E20—2011</w:t>
            </w:r>
            <w:r>
              <w:rPr>
                <w:rFonts w:ascii="宋体" w:hAnsi="宋体"/>
                <w:sz w:val="18"/>
                <w:szCs w:val="18"/>
                <w:lang w:val="de-DE"/>
              </w:rPr>
              <w:t xml:space="preserve"> </w:t>
            </w:r>
            <w:r>
              <w:rPr>
                <w:rFonts w:ascii="宋体" w:hAnsi="宋体"/>
                <w:kern w:val="0"/>
                <w:sz w:val="18"/>
                <w:lang w:val="de-DE"/>
              </w:rPr>
              <w:t>T0722</w:t>
            </w:r>
          </w:p>
          <w:p w14:paraId="291D09E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lang w:val="de-DE"/>
              </w:rPr>
            </w:pPr>
            <w:r>
              <w:rPr>
                <w:rFonts w:hint="eastAsia" w:ascii="宋体" w:hAnsi="宋体"/>
                <w:sz w:val="18"/>
                <w:szCs w:val="18"/>
                <w:lang w:val="de-DE"/>
              </w:rPr>
              <w:t>JTG E20—2011</w:t>
            </w:r>
            <w:r>
              <w:rPr>
                <w:rFonts w:ascii="宋体" w:hAnsi="宋体"/>
                <w:sz w:val="18"/>
                <w:szCs w:val="18"/>
                <w:lang w:val="de-DE"/>
              </w:rPr>
              <w:t xml:space="preserve"> </w:t>
            </w:r>
            <w:r>
              <w:rPr>
                <w:rFonts w:ascii="宋体" w:hAnsi="宋体"/>
                <w:kern w:val="0"/>
                <w:sz w:val="18"/>
                <w:lang w:val="de-DE"/>
              </w:rPr>
              <w:t>T0735</w:t>
            </w:r>
          </w:p>
        </w:tc>
      </w:tr>
      <w:tr w14:paraId="376BD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0" w:hRule="atLeast"/>
          <w:tblHeader/>
          <w:jc w:val="center"/>
        </w:trPr>
        <w:tc>
          <w:tcPr>
            <w:tcW w:w="1904" w:type="dxa"/>
            <w:gridSpan w:val="2"/>
            <w:vAlign w:val="center"/>
          </w:tcPr>
          <w:p w14:paraId="01058B9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空隙率</w:t>
            </w:r>
          </w:p>
        </w:tc>
        <w:tc>
          <w:tcPr>
            <w:tcW w:w="2627" w:type="dxa"/>
            <w:vAlign w:val="center"/>
          </w:tcPr>
          <w:p w14:paraId="4CC8F52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ascii="宋体" w:hAnsi="宋体"/>
                <w:kern w:val="0"/>
                <w:sz w:val="18"/>
              </w:rPr>
              <w:t>每台拌和机</w:t>
            </w:r>
            <w:r>
              <w:rPr>
                <w:rFonts w:hint="eastAsia" w:ascii="宋体" w:hAnsi="宋体"/>
                <w:kern w:val="0"/>
                <w:sz w:val="18"/>
              </w:rPr>
              <w:t>每天上午、下午各一次或每1</w:t>
            </w:r>
            <w:r>
              <w:rPr>
                <w:rFonts w:hint="eastAsia" w:ascii="MS Mincho" w:hAnsi="MS Mincho" w:eastAsia="MS Mincho" w:cs="MS Mincho"/>
                <w:kern w:val="0"/>
                <w:sz w:val="18"/>
              </w:rPr>
              <w:t> </w:t>
            </w:r>
            <w:r>
              <w:rPr>
                <w:rFonts w:ascii="宋体" w:hAnsi="宋体"/>
                <w:kern w:val="0"/>
                <w:sz w:val="18"/>
              </w:rPr>
              <w:t>000</w:t>
            </w:r>
            <w:r>
              <w:rPr>
                <w:rFonts w:hint="eastAsia" w:ascii="MS Mincho" w:hAnsi="MS Mincho" w:eastAsia="MS Mincho" w:cs="MS Mincho"/>
                <w:kern w:val="0"/>
                <w:sz w:val="18"/>
              </w:rPr>
              <w:t> </w:t>
            </w:r>
            <w:r>
              <w:rPr>
                <w:rFonts w:hint="eastAsia" w:ascii="宋体" w:hAnsi="宋体"/>
                <w:kern w:val="0"/>
                <w:sz w:val="18"/>
              </w:rPr>
              <w:t>t检测一次，以3个试件的平均值评定</w:t>
            </w:r>
          </w:p>
        </w:tc>
        <w:tc>
          <w:tcPr>
            <w:tcW w:w="1985" w:type="dxa"/>
            <w:vAlign w:val="center"/>
          </w:tcPr>
          <w:p w14:paraId="54709B3A">
            <w:pPr>
              <w:tabs>
                <w:tab w:val="left" w:pos="1034"/>
                <w:tab w:val="center" w:pos="4201"/>
                <w:tab w:val="right" w:leader="dot" w:pos="9298"/>
              </w:tabs>
              <w:autoSpaceDE w:val="0"/>
              <w:autoSpaceDN w:val="0"/>
              <w:spacing w:line="240" w:lineRule="auto"/>
              <w:jc w:val="center"/>
              <w:rPr>
                <w:rFonts w:ascii="宋体" w:hAnsi="宋体"/>
                <w:kern w:val="0"/>
                <w:sz w:val="18"/>
              </w:rPr>
            </w:pPr>
            <w:r>
              <w:rPr>
                <w:rFonts w:hint="eastAsia" w:ascii="宋体" w:hAnsi="宋体"/>
                <w:kern w:val="0"/>
                <w:sz w:val="18"/>
              </w:rPr>
              <w:t>符合设计</w:t>
            </w:r>
          </w:p>
        </w:tc>
        <w:tc>
          <w:tcPr>
            <w:tcW w:w="2703" w:type="dxa"/>
            <w:vAlign w:val="center"/>
          </w:tcPr>
          <w:p w14:paraId="7EFFD3C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lang w:val="de-DE"/>
              </w:rPr>
            </w:pPr>
            <w:r>
              <w:rPr>
                <w:rFonts w:hint="eastAsia" w:ascii="宋体" w:hAnsi="宋体"/>
                <w:kern w:val="0"/>
                <w:sz w:val="18"/>
                <w:lang w:val="de-DE"/>
              </w:rPr>
              <w:t>JTG E20—2011</w:t>
            </w:r>
            <w:r>
              <w:rPr>
                <w:rFonts w:ascii="宋体" w:hAnsi="宋体"/>
                <w:kern w:val="0"/>
                <w:sz w:val="18"/>
                <w:lang w:val="de-DE"/>
              </w:rPr>
              <w:t xml:space="preserve"> </w:t>
            </w:r>
            <w:r>
              <w:rPr>
                <w:rFonts w:hint="eastAsia" w:ascii="宋体" w:hAnsi="宋体"/>
                <w:kern w:val="0"/>
                <w:sz w:val="18"/>
                <w:lang w:val="de-DE"/>
              </w:rPr>
              <w:t>T</w:t>
            </w:r>
            <w:r>
              <w:rPr>
                <w:rFonts w:ascii="宋体" w:hAnsi="宋体"/>
                <w:kern w:val="0"/>
                <w:sz w:val="18"/>
                <w:lang w:val="de-DE"/>
              </w:rPr>
              <w:t>070</w:t>
            </w:r>
            <w:r>
              <w:rPr>
                <w:rFonts w:hint="eastAsia" w:ascii="宋体" w:hAnsi="宋体"/>
                <w:kern w:val="0"/>
                <w:sz w:val="18"/>
                <w:lang w:val="de-DE"/>
              </w:rPr>
              <w:t>8</w:t>
            </w:r>
          </w:p>
        </w:tc>
      </w:tr>
      <w:tr w14:paraId="694413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904" w:type="dxa"/>
            <w:gridSpan w:val="2"/>
            <w:vAlign w:val="center"/>
          </w:tcPr>
          <w:p w14:paraId="3FE0BEC8">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析漏试验</w:t>
            </w:r>
          </w:p>
        </w:tc>
        <w:tc>
          <w:tcPr>
            <w:tcW w:w="2627" w:type="dxa"/>
            <w:vAlign w:val="center"/>
          </w:tcPr>
          <w:p w14:paraId="2C03D48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必要时</w:t>
            </w:r>
          </w:p>
        </w:tc>
        <w:tc>
          <w:tcPr>
            <w:tcW w:w="1985" w:type="dxa"/>
            <w:vAlign w:val="center"/>
          </w:tcPr>
          <w:p w14:paraId="29FCF8A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符合设计</w:t>
            </w:r>
          </w:p>
        </w:tc>
        <w:tc>
          <w:tcPr>
            <w:tcW w:w="2703" w:type="dxa"/>
            <w:vAlign w:val="center"/>
          </w:tcPr>
          <w:p w14:paraId="68DC5F6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lang w:val="de-DE"/>
              </w:rPr>
            </w:pPr>
            <w:r>
              <w:rPr>
                <w:rFonts w:ascii="宋体" w:hAnsi="宋体"/>
                <w:kern w:val="0"/>
                <w:sz w:val="18"/>
                <w:lang w:val="de-DE"/>
              </w:rPr>
              <w:t>JTG E20</w:t>
            </w:r>
            <w:r>
              <w:rPr>
                <w:rFonts w:hint="eastAsia" w:ascii="宋体" w:hAnsi="宋体"/>
                <w:kern w:val="0"/>
                <w:sz w:val="18"/>
                <w:lang w:val="de-DE"/>
              </w:rPr>
              <w:t>—</w:t>
            </w:r>
            <w:r>
              <w:rPr>
                <w:rFonts w:ascii="宋体" w:hAnsi="宋体"/>
                <w:kern w:val="0"/>
                <w:sz w:val="18"/>
                <w:lang w:val="de-DE"/>
              </w:rPr>
              <w:t>2011 T0732</w:t>
            </w:r>
          </w:p>
        </w:tc>
      </w:tr>
      <w:tr w14:paraId="6352E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904" w:type="dxa"/>
            <w:gridSpan w:val="2"/>
            <w:vAlign w:val="center"/>
          </w:tcPr>
          <w:p w14:paraId="73A690D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飞散试验</w:t>
            </w:r>
          </w:p>
        </w:tc>
        <w:tc>
          <w:tcPr>
            <w:tcW w:w="2627" w:type="dxa"/>
            <w:vAlign w:val="center"/>
          </w:tcPr>
          <w:p w14:paraId="580ECC8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必要时</w:t>
            </w:r>
          </w:p>
        </w:tc>
        <w:tc>
          <w:tcPr>
            <w:tcW w:w="1985" w:type="dxa"/>
            <w:vAlign w:val="center"/>
          </w:tcPr>
          <w:p w14:paraId="4AC99489">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符合设计</w:t>
            </w:r>
          </w:p>
        </w:tc>
        <w:tc>
          <w:tcPr>
            <w:tcW w:w="2703" w:type="dxa"/>
            <w:vAlign w:val="center"/>
          </w:tcPr>
          <w:p w14:paraId="325433C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lang w:val="de-DE"/>
              </w:rPr>
            </w:pPr>
            <w:r>
              <w:rPr>
                <w:rFonts w:ascii="宋体" w:hAnsi="宋体"/>
                <w:kern w:val="0"/>
                <w:sz w:val="18"/>
                <w:lang w:val="de-DE"/>
              </w:rPr>
              <w:t>JTG E20</w:t>
            </w:r>
            <w:r>
              <w:rPr>
                <w:rFonts w:hint="eastAsia" w:ascii="宋体" w:hAnsi="宋体"/>
                <w:kern w:val="0"/>
                <w:sz w:val="18"/>
                <w:lang w:val="de-DE"/>
              </w:rPr>
              <w:t>—</w:t>
            </w:r>
            <w:r>
              <w:rPr>
                <w:rFonts w:ascii="宋体" w:hAnsi="宋体"/>
                <w:kern w:val="0"/>
                <w:sz w:val="18"/>
                <w:lang w:val="de-DE"/>
              </w:rPr>
              <w:t>2011 T0733</w:t>
            </w:r>
          </w:p>
        </w:tc>
      </w:tr>
    </w:tbl>
    <w:p w14:paraId="7F0A6DB1">
      <w:pPr>
        <w:pStyle w:val="58"/>
        <w:ind w:firstLine="420"/>
      </w:pPr>
    </w:p>
    <w:p w14:paraId="4E1F0DF8">
      <w:pPr>
        <w:pStyle w:val="167"/>
        <w:ind w:left="0"/>
      </w:pPr>
      <w:r>
        <w:rPr>
          <w:rFonts w:hint="eastAsia"/>
        </w:rPr>
        <w:t>LSPM施工质量检查应在上层结构施工前进行，质量检查的内容、频度、允许差应符合表12的规定。</w:t>
      </w:r>
    </w:p>
    <w:p w14:paraId="1867C7E0">
      <w:pPr>
        <w:pStyle w:val="58"/>
        <w:ind w:firstLine="420"/>
      </w:pPr>
    </w:p>
    <w:p w14:paraId="606B9B9D">
      <w:pPr>
        <w:pStyle w:val="58"/>
        <w:ind w:firstLine="420"/>
      </w:pPr>
    </w:p>
    <w:p w14:paraId="1B3DBB91">
      <w:pPr>
        <w:pStyle w:val="58"/>
        <w:ind w:firstLine="420"/>
      </w:pPr>
    </w:p>
    <w:p w14:paraId="2A5161E0">
      <w:pPr>
        <w:pStyle w:val="114"/>
        <w:spacing w:before="156" w:after="156"/>
      </w:pPr>
      <w:r>
        <w:t xml:space="preserve"> </w:t>
      </w:r>
      <w:r>
        <w:rPr>
          <w:rFonts w:hint="eastAsia"/>
        </w:rPr>
        <w:t>LSPM施工过程中质量检查标准</w:t>
      </w:r>
    </w:p>
    <w:tbl>
      <w:tblPr>
        <w:tblStyle w:val="27"/>
        <w:tblW w:w="488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699"/>
        <w:gridCol w:w="1562"/>
        <w:gridCol w:w="853"/>
        <w:gridCol w:w="1904"/>
        <w:gridCol w:w="1485"/>
        <w:gridCol w:w="1851"/>
      </w:tblGrid>
      <w:tr w14:paraId="53C44D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Merge w:val="restart"/>
            <w:tcBorders>
              <w:top w:val="single" w:color="auto" w:sz="8" w:space="0"/>
              <w:bottom w:val="single" w:color="auto" w:sz="4" w:space="0"/>
            </w:tcBorders>
            <w:vAlign w:val="center"/>
          </w:tcPr>
          <w:p w14:paraId="0F248AB2">
            <w:pPr>
              <w:adjustRightInd/>
              <w:spacing w:line="240" w:lineRule="auto"/>
              <w:jc w:val="center"/>
              <w:rPr>
                <w:rFonts w:ascii="宋体" w:hAnsi="宋体"/>
                <w:kern w:val="0"/>
                <w:sz w:val="18"/>
              </w:rPr>
            </w:pPr>
            <w:r>
              <w:rPr>
                <w:rFonts w:hint="eastAsia" w:ascii="宋体" w:hAnsi="宋体"/>
                <w:kern w:val="0"/>
                <w:sz w:val="18"/>
              </w:rPr>
              <w:t>检查</w:t>
            </w:r>
            <w:r>
              <w:rPr>
                <w:rFonts w:ascii="宋体" w:hAnsi="宋体"/>
                <w:kern w:val="0"/>
                <w:sz w:val="18"/>
              </w:rPr>
              <w:t>项目</w:t>
            </w:r>
          </w:p>
        </w:tc>
        <w:tc>
          <w:tcPr>
            <w:tcW w:w="1291" w:type="pct"/>
            <w:gridSpan w:val="2"/>
            <w:vMerge w:val="restart"/>
            <w:tcBorders>
              <w:top w:val="single" w:color="auto" w:sz="8" w:space="0"/>
              <w:bottom w:val="single" w:color="auto" w:sz="4" w:space="0"/>
            </w:tcBorders>
            <w:vAlign w:val="center"/>
          </w:tcPr>
          <w:p w14:paraId="07E98A9C">
            <w:pPr>
              <w:adjustRightInd/>
              <w:spacing w:line="240" w:lineRule="auto"/>
              <w:jc w:val="center"/>
              <w:rPr>
                <w:rFonts w:ascii="宋体" w:hAnsi="宋体"/>
                <w:kern w:val="0"/>
                <w:sz w:val="18"/>
              </w:rPr>
            </w:pPr>
            <w:r>
              <w:rPr>
                <w:rFonts w:ascii="宋体" w:hAnsi="宋体"/>
                <w:kern w:val="0"/>
                <w:sz w:val="18"/>
              </w:rPr>
              <w:t>检查频度及单点检验评价方法</w:t>
            </w:r>
          </w:p>
        </w:tc>
        <w:tc>
          <w:tcPr>
            <w:tcW w:w="1812" w:type="pct"/>
            <w:gridSpan w:val="2"/>
            <w:tcBorders>
              <w:top w:val="single" w:color="auto" w:sz="8" w:space="0"/>
              <w:bottom w:val="single" w:color="auto" w:sz="4" w:space="0"/>
              <w:right w:val="single" w:color="auto" w:sz="4" w:space="0"/>
            </w:tcBorders>
            <w:vAlign w:val="center"/>
          </w:tcPr>
          <w:p w14:paraId="25774223">
            <w:pPr>
              <w:adjustRightInd/>
              <w:spacing w:line="240" w:lineRule="auto"/>
              <w:jc w:val="center"/>
              <w:rPr>
                <w:rFonts w:ascii="宋体" w:hAnsi="宋体"/>
                <w:kern w:val="0"/>
                <w:sz w:val="18"/>
              </w:rPr>
            </w:pPr>
            <w:r>
              <w:rPr>
                <w:rFonts w:ascii="宋体" w:hAnsi="宋体"/>
                <w:kern w:val="0"/>
                <w:sz w:val="18"/>
              </w:rPr>
              <w:t>质量要求或允许偏差</w:t>
            </w:r>
          </w:p>
        </w:tc>
        <w:tc>
          <w:tcPr>
            <w:tcW w:w="989" w:type="pct"/>
            <w:vMerge w:val="restart"/>
            <w:tcBorders>
              <w:top w:val="single" w:color="auto" w:sz="8" w:space="0"/>
              <w:left w:val="single" w:color="auto" w:sz="4" w:space="0"/>
              <w:bottom w:val="single" w:color="auto" w:sz="8" w:space="0"/>
            </w:tcBorders>
            <w:vAlign w:val="center"/>
          </w:tcPr>
          <w:p w14:paraId="6B310CC8">
            <w:pPr>
              <w:adjustRightInd/>
              <w:spacing w:line="240" w:lineRule="auto"/>
              <w:jc w:val="center"/>
              <w:rPr>
                <w:rFonts w:ascii="宋体" w:hAnsi="宋体"/>
                <w:kern w:val="0"/>
                <w:sz w:val="18"/>
              </w:rPr>
            </w:pPr>
            <w:r>
              <w:rPr>
                <w:rFonts w:ascii="宋体" w:hAnsi="宋体"/>
                <w:kern w:val="0"/>
                <w:sz w:val="18"/>
              </w:rPr>
              <w:t>试验方法</w:t>
            </w:r>
          </w:p>
        </w:tc>
      </w:tr>
      <w:tr w14:paraId="035FC4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Merge w:val="continue"/>
            <w:tcBorders>
              <w:top w:val="single" w:color="auto" w:sz="4" w:space="0"/>
              <w:bottom w:val="single" w:color="auto" w:sz="8" w:space="0"/>
            </w:tcBorders>
            <w:vAlign w:val="center"/>
          </w:tcPr>
          <w:p w14:paraId="2CD31ADD">
            <w:pPr>
              <w:adjustRightInd/>
              <w:spacing w:line="240" w:lineRule="auto"/>
              <w:jc w:val="center"/>
              <w:rPr>
                <w:rFonts w:ascii="宋体" w:hAnsi="宋体"/>
                <w:kern w:val="0"/>
                <w:sz w:val="18"/>
              </w:rPr>
            </w:pPr>
          </w:p>
        </w:tc>
        <w:tc>
          <w:tcPr>
            <w:tcW w:w="1291" w:type="pct"/>
            <w:gridSpan w:val="2"/>
            <w:vMerge w:val="continue"/>
            <w:tcBorders>
              <w:top w:val="single" w:color="auto" w:sz="4" w:space="0"/>
              <w:bottom w:val="single" w:color="auto" w:sz="8" w:space="0"/>
            </w:tcBorders>
            <w:vAlign w:val="center"/>
          </w:tcPr>
          <w:p w14:paraId="39BA48A2">
            <w:pPr>
              <w:adjustRightInd/>
              <w:spacing w:line="240" w:lineRule="auto"/>
              <w:jc w:val="center"/>
              <w:rPr>
                <w:rFonts w:ascii="宋体" w:hAnsi="宋体"/>
                <w:kern w:val="0"/>
                <w:sz w:val="18"/>
              </w:rPr>
            </w:pPr>
          </w:p>
        </w:tc>
        <w:tc>
          <w:tcPr>
            <w:tcW w:w="1018" w:type="pct"/>
            <w:tcBorders>
              <w:top w:val="single" w:color="auto" w:sz="4" w:space="0"/>
              <w:bottom w:val="single" w:color="auto" w:sz="8" w:space="0"/>
            </w:tcBorders>
            <w:vAlign w:val="center"/>
          </w:tcPr>
          <w:p w14:paraId="3A81391B">
            <w:pPr>
              <w:adjustRightInd/>
              <w:spacing w:line="240" w:lineRule="auto"/>
              <w:jc w:val="center"/>
              <w:rPr>
                <w:rFonts w:ascii="宋体" w:hAnsi="宋体"/>
                <w:kern w:val="0"/>
                <w:sz w:val="18"/>
              </w:rPr>
            </w:pPr>
            <w:r>
              <w:rPr>
                <w:rFonts w:hint="eastAsia" w:ascii="宋体" w:hAnsi="宋体"/>
                <w:kern w:val="0"/>
                <w:sz w:val="18"/>
              </w:rPr>
              <w:t>高速公路、一级公路</w:t>
            </w:r>
          </w:p>
        </w:tc>
        <w:tc>
          <w:tcPr>
            <w:tcW w:w="794" w:type="pct"/>
            <w:tcBorders>
              <w:top w:val="single" w:color="auto" w:sz="4" w:space="0"/>
              <w:bottom w:val="single" w:color="auto" w:sz="8" w:space="0"/>
              <w:right w:val="single" w:color="auto" w:sz="4" w:space="0"/>
            </w:tcBorders>
            <w:vAlign w:val="center"/>
          </w:tcPr>
          <w:p w14:paraId="0A789AE0">
            <w:pPr>
              <w:adjustRightInd/>
              <w:spacing w:line="240" w:lineRule="auto"/>
              <w:jc w:val="center"/>
              <w:rPr>
                <w:rFonts w:ascii="宋体" w:hAnsi="宋体"/>
                <w:kern w:val="0"/>
                <w:sz w:val="18"/>
              </w:rPr>
            </w:pPr>
            <w:r>
              <w:rPr>
                <w:rFonts w:hint="eastAsia" w:ascii="宋体" w:hAnsi="宋体"/>
                <w:kern w:val="0"/>
                <w:sz w:val="18"/>
              </w:rPr>
              <w:t>其他等级公路</w:t>
            </w:r>
          </w:p>
        </w:tc>
        <w:tc>
          <w:tcPr>
            <w:tcW w:w="989" w:type="pct"/>
            <w:vMerge w:val="continue"/>
            <w:tcBorders>
              <w:top w:val="single" w:color="auto" w:sz="4" w:space="0"/>
              <w:left w:val="single" w:color="auto" w:sz="4" w:space="0"/>
              <w:bottom w:val="single" w:color="auto" w:sz="8" w:space="0"/>
            </w:tcBorders>
            <w:vAlign w:val="center"/>
          </w:tcPr>
          <w:p w14:paraId="4FDA4397">
            <w:pPr>
              <w:adjustRightInd/>
              <w:spacing w:line="240" w:lineRule="auto"/>
              <w:jc w:val="center"/>
              <w:rPr>
                <w:rFonts w:ascii="宋体" w:hAnsi="宋体"/>
                <w:kern w:val="0"/>
                <w:sz w:val="18"/>
              </w:rPr>
            </w:pPr>
          </w:p>
        </w:tc>
      </w:tr>
      <w:tr w14:paraId="5B7332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Merge w:val="restart"/>
            <w:vAlign w:val="center"/>
          </w:tcPr>
          <w:p w14:paraId="0C10E17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厚度</w:t>
            </w:r>
          </w:p>
        </w:tc>
        <w:tc>
          <w:tcPr>
            <w:tcW w:w="1291" w:type="pct"/>
            <w:gridSpan w:val="2"/>
            <w:vAlign w:val="center"/>
          </w:tcPr>
          <w:p w14:paraId="7EA5E05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随时</w:t>
            </w:r>
          </w:p>
        </w:tc>
        <w:tc>
          <w:tcPr>
            <w:tcW w:w="1018" w:type="pct"/>
            <w:vAlign w:val="center"/>
          </w:tcPr>
          <w:p w14:paraId="3C9BD16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设计值的8</w:t>
            </w:r>
            <w:r>
              <w:rPr>
                <w:rFonts w:ascii="宋体" w:hAnsi="宋体"/>
                <w:kern w:val="0"/>
                <w:sz w:val="18"/>
              </w:rPr>
              <w:t>％</w:t>
            </w:r>
          </w:p>
        </w:tc>
        <w:tc>
          <w:tcPr>
            <w:tcW w:w="794" w:type="pct"/>
            <w:vAlign w:val="center"/>
          </w:tcPr>
          <w:p w14:paraId="40BD42F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设计值的</w:t>
            </w:r>
            <w:r>
              <w:rPr>
                <w:rFonts w:ascii="宋体" w:hAnsi="宋体"/>
                <w:kern w:val="0"/>
                <w:sz w:val="18"/>
              </w:rPr>
              <w:t>10％</w:t>
            </w:r>
          </w:p>
        </w:tc>
        <w:tc>
          <w:tcPr>
            <w:tcW w:w="989" w:type="pct"/>
            <w:vAlign w:val="center"/>
          </w:tcPr>
          <w:p w14:paraId="37BFFDA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施工时插入法量测松铺厚度及压实厚度</w:t>
            </w:r>
          </w:p>
        </w:tc>
      </w:tr>
      <w:tr w14:paraId="56C07D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Merge w:val="continue"/>
            <w:vAlign w:val="center"/>
          </w:tcPr>
          <w:p w14:paraId="6D561D5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1291" w:type="pct"/>
            <w:gridSpan w:val="2"/>
            <w:vAlign w:val="center"/>
          </w:tcPr>
          <w:p w14:paraId="1BB12D50">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每2</w:t>
            </w:r>
            <w:r>
              <w:rPr>
                <w:rFonts w:ascii="宋体" w:hAnsi="宋体"/>
                <w:kern w:val="0"/>
                <w:sz w:val="18"/>
              </w:rPr>
              <w:t> 000 </w:t>
            </w:r>
            <w:r>
              <w:rPr>
                <w:rFonts w:hint="eastAsia" w:ascii="宋体" w:hAnsi="宋体"/>
                <w:kern w:val="0"/>
                <w:sz w:val="18"/>
              </w:rPr>
              <w:t>m</w:t>
            </w:r>
            <w:r>
              <w:rPr>
                <w:rFonts w:ascii="宋体" w:hAnsi="宋体"/>
                <w:kern w:val="0"/>
                <w:sz w:val="18"/>
                <w:vertAlign w:val="superscript"/>
              </w:rPr>
              <w:t>2</w:t>
            </w:r>
            <w:r>
              <w:rPr>
                <w:rFonts w:hint="eastAsia" w:ascii="宋体" w:hAnsi="宋体"/>
                <w:kern w:val="0"/>
                <w:sz w:val="18"/>
              </w:rPr>
              <w:t>一点单点评定</w:t>
            </w:r>
          </w:p>
        </w:tc>
        <w:tc>
          <w:tcPr>
            <w:tcW w:w="1018" w:type="pct"/>
            <w:vAlign w:val="center"/>
          </w:tcPr>
          <w:p w14:paraId="7724164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设计值的-</w:t>
            </w:r>
            <w:r>
              <w:rPr>
                <w:rFonts w:ascii="宋体" w:hAnsi="宋体"/>
                <w:kern w:val="0"/>
                <w:sz w:val="18"/>
              </w:rPr>
              <w:t>5％</w:t>
            </w:r>
          </w:p>
        </w:tc>
        <w:tc>
          <w:tcPr>
            <w:tcW w:w="794" w:type="pct"/>
            <w:vAlign w:val="center"/>
          </w:tcPr>
          <w:p w14:paraId="3E776ED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设计值的-</w:t>
            </w:r>
            <w:r>
              <w:rPr>
                <w:rFonts w:ascii="宋体" w:hAnsi="宋体"/>
                <w:kern w:val="0"/>
                <w:sz w:val="18"/>
              </w:rPr>
              <w:t>8％</w:t>
            </w:r>
          </w:p>
        </w:tc>
        <w:tc>
          <w:tcPr>
            <w:tcW w:w="989" w:type="pct"/>
            <w:vAlign w:val="center"/>
          </w:tcPr>
          <w:p w14:paraId="06E33DA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bookmarkStart w:id="220" w:name="OLE_LINK7"/>
            <w:r>
              <w:rPr>
                <w:rFonts w:hint="eastAsia" w:ascii="宋体" w:hAnsi="宋体"/>
                <w:kern w:val="0"/>
                <w:sz w:val="18"/>
              </w:rPr>
              <w:t>JTG 3450</w:t>
            </w:r>
            <w:bookmarkEnd w:id="220"/>
            <w:r>
              <w:rPr>
                <w:rFonts w:hint="eastAsia" w:ascii="宋体" w:hAnsi="宋体"/>
                <w:kern w:val="0"/>
                <w:sz w:val="18"/>
              </w:rPr>
              <w:t>—2019</w:t>
            </w:r>
            <w:r>
              <w:rPr>
                <w:rFonts w:ascii="宋体" w:hAnsi="宋体"/>
                <w:kern w:val="0"/>
                <w:sz w:val="18"/>
              </w:rPr>
              <w:t xml:space="preserve"> </w:t>
            </w:r>
            <w:r>
              <w:rPr>
                <w:rFonts w:hint="eastAsia" w:ascii="宋体" w:hAnsi="宋体"/>
                <w:kern w:val="0"/>
                <w:sz w:val="18"/>
              </w:rPr>
              <w:t>T</w:t>
            </w:r>
            <w:r>
              <w:rPr>
                <w:rFonts w:ascii="宋体" w:hAnsi="宋体"/>
                <w:kern w:val="0"/>
                <w:sz w:val="18"/>
              </w:rPr>
              <w:t>0912</w:t>
            </w:r>
          </w:p>
        </w:tc>
      </w:tr>
      <w:tr w14:paraId="5AC4B5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Align w:val="center"/>
          </w:tcPr>
          <w:p w14:paraId="31A5A318">
            <w:pPr>
              <w:tabs>
                <w:tab w:val="left" w:pos="1034"/>
                <w:tab w:val="center" w:pos="4201"/>
                <w:tab w:val="right" w:leader="dot" w:pos="9298"/>
              </w:tabs>
              <w:autoSpaceDE w:val="0"/>
              <w:autoSpaceDN w:val="0"/>
              <w:spacing w:line="240" w:lineRule="auto"/>
              <w:jc w:val="center"/>
              <w:rPr>
                <w:rFonts w:ascii="宋体" w:hAnsi="宋体"/>
                <w:kern w:val="0"/>
                <w:sz w:val="18"/>
              </w:rPr>
            </w:pPr>
            <w:r>
              <w:rPr>
                <w:rFonts w:hint="eastAsia" w:ascii="宋体" w:hAnsi="宋体"/>
                <w:kern w:val="0"/>
                <w:sz w:val="18"/>
              </w:rPr>
              <w:t>压实度</w:t>
            </w:r>
          </w:p>
        </w:tc>
        <w:tc>
          <w:tcPr>
            <w:tcW w:w="835" w:type="pct"/>
            <w:vAlign w:val="center"/>
          </w:tcPr>
          <w:p w14:paraId="3A6E8FD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每2</w:t>
            </w:r>
            <w:r>
              <w:rPr>
                <w:rFonts w:ascii="宋体" w:hAnsi="宋体"/>
                <w:kern w:val="0"/>
                <w:sz w:val="18"/>
              </w:rPr>
              <w:t> 000 </w:t>
            </w:r>
            <w:r>
              <w:rPr>
                <w:rFonts w:hint="eastAsia" w:ascii="宋体" w:hAnsi="宋体"/>
                <w:kern w:val="0"/>
                <w:sz w:val="18"/>
              </w:rPr>
              <w:t>m</w:t>
            </w:r>
            <w:r>
              <w:rPr>
                <w:rFonts w:ascii="宋体" w:hAnsi="宋体"/>
                <w:kern w:val="0"/>
                <w:sz w:val="18"/>
                <w:vertAlign w:val="superscript"/>
              </w:rPr>
              <w:t>2</w:t>
            </w:r>
            <w:r>
              <w:rPr>
                <w:rFonts w:hint="eastAsia" w:ascii="宋体" w:hAnsi="宋体"/>
                <w:kern w:val="0"/>
                <w:sz w:val="18"/>
              </w:rPr>
              <w:t>检查1组逐个试件评定并计算平均值</w:t>
            </w:r>
          </w:p>
        </w:tc>
        <w:tc>
          <w:tcPr>
            <w:tcW w:w="456" w:type="pct"/>
            <w:vAlign w:val="center"/>
          </w:tcPr>
          <w:p w14:paraId="3E91B0F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代表值</w:t>
            </w:r>
          </w:p>
        </w:tc>
        <w:tc>
          <w:tcPr>
            <w:tcW w:w="1812" w:type="pct"/>
            <w:gridSpan w:val="2"/>
            <w:vAlign w:val="center"/>
          </w:tcPr>
          <w:p w14:paraId="763F60A7">
            <w:pPr>
              <w:tabs>
                <w:tab w:val="left" w:pos="1034"/>
                <w:tab w:val="center" w:pos="4201"/>
                <w:tab w:val="right" w:leader="dot" w:pos="9298"/>
              </w:tabs>
              <w:autoSpaceDE w:val="0"/>
              <w:autoSpaceDN w:val="0"/>
              <w:spacing w:line="240" w:lineRule="auto"/>
              <w:jc w:val="center"/>
              <w:rPr>
                <w:rFonts w:ascii="宋体" w:hAnsi="宋体"/>
                <w:kern w:val="0"/>
                <w:sz w:val="18"/>
              </w:rPr>
            </w:pPr>
            <w:r>
              <w:rPr>
                <w:rFonts w:hint="eastAsia" w:ascii="宋体" w:hAnsi="宋体"/>
                <w:kern w:val="0"/>
                <w:sz w:val="18"/>
              </w:rPr>
              <w:t>≥试验室标准密度的9</w:t>
            </w:r>
            <w:r>
              <w:rPr>
                <w:rFonts w:ascii="宋体" w:hAnsi="宋体"/>
                <w:kern w:val="0"/>
                <w:sz w:val="18"/>
              </w:rPr>
              <w:t>8％</w:t>
            </w:r>
          </w:p>
        </w:tc>
        <w:tc>
          <w:tcPr>
            <w:tcW w:w="989" w:type="pct"/>
            <w:vAlign w:val="center"/>
          </w:tcPr>
          <w:p w14:paraId="786BCDD7">
            <w:pPr>
              <w:tabs>
                <w:tab w:val="left" w:pos="1034"/>
                <w:tab w:val="center" w:pos="4201"/>
                <w:tab w:val="right" w:leader="dot" w:pos="9298"/>
              </w:tabs>
              <w:autoSpaceDE w:val="0"/>
              <w:autoSpaceDN w:val="0"/>
              <w:spacing w:line="240" w:lineRule="auto"/>
              <w:jc w:val="center"/>
              <w:rPr>
                <w:rFonts w:ascii="宋体" w:hAnsi="宋体"/>
                <w:kern w:val="0"/>
                <w:sz w:val="18"/>
                <w:lang w:val="de-DE"/>
              </w:rPr>
            </w:pPr>
            <w:r>
              <w:rPr>
                <w:rFonts w:hint="eastAsia" w:ascii="宋体" w:hAnsi="宋体"/>
                <w:kern w:val="0"/>
                <w:sz w:val="18"/>
                <w:lang w:val="de-DE"/>
              </w:rPr>
              <w:t>JTG 3450—2019</w:t>
            </w:r>
            <w:r>
              <w:rPr>
                <w:rFonts w:ascii="宋体" w:hAnsi="宋体"/>
                <w:kern w:val="0"/>
                <w:sz w:val="18"/>
                <w:lang w:val="de-DE"/>
              </w:rPr>
              <w:t xml:space="preserve"> </w:t>
            </w:r>
            <w:r>
              <w:rPr>
                <w:rFonts w:hint="eastAsia" w:ascii="宋体" w:hAnsi="宋体"/>
                <w:kern w:val="0"/>
                <w:sz w:val="18"/>
                <w:lang w:val="de-DE"/>
              </w:rPr>
              <w:t>T</w:t>
            </w:r>
            <w:r>
              <w:rPr>
                <w:rFonts w:ascii="宋体" w:hAnsi="宋体"/>
                <w:kern w:val="0"/>
                <w:sz w:val="18"/>
                <w:lang w:val="de-DE"/>
              </w:rPr>
              <w:t>0924</w:t>
            </w:r>
          </w:p>
        </w:tc>
      </w:tr>
      <w:tr w14:paraId="029055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Merge w:val="restart"/>
            <w:vAlign w:val="center"/>
          </w:tcPr>
          <w:p w14:paraId="47852D6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空隙率</w:t>
            </w:r>
          </w:p>
        </w:tc>
        <w:tc>
          <w:tcPr>
            <w:tcW w:w="835" w:type="pct"/>
            <w:vMerge w:val="restart"/>
            <w:vAlign w:val="center"/>
          </w:tcPr>
          <w:p w14:paraId="5B2C9BF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每2</w:t>
            </w:r>
            <w:r>
              <w:rPr>
                <w:rFonts w:ascii="宋体" w:hAnsi="宋体"/>
                <w:kern w:val="0"/>
                <w:sz w:val="18"/>
              </w:rPr>
              <w:t> 000 </w:t>
            </w:r>
            <w:r>
              <w:rPr>
                <w:rFonts w:hint="eastAsia" w:ascii="宋体" w:hAnsi="宋体"/>
                <w:kern w:val="0"/>
                <w:sz w:val="18"/>
              </w:rPr>
              <w:t>m</w:t>
            </w:r>
            <w:r>
              <w:rPr>
                <w:rFonts w:ascii="宋体" w:hAnsi="宋体"/>
                <w:kern w:val="0"/>
                <w:sz w:val="18"/>
                <w:vertAlign w:val="superscript"/>
              </w:rPr>
              <w:t>2</w:t>
            </w:r>
            <w:r>
              <w:rPr>
                <w:rFonts w:hint="eastAsia" w:ascii="宋体" w:hAnsi="宋体"/>
                <w:kern w:val="0"/>
                <w:sz w:val="18"/>
              </w:rPr>
              <w:t>检查1组逐个试件评定并计算平均值</w:t>
            </w:r>
          </w:p>
        </w:tc>
        <w:tc>
          <w:tcPr>
            <w:tcW w:w="456" w:type="pct"/>
            <w:vAlign w:val="center"/>
          </w:tcPr>
          <w:p w14:paraId="5969409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平均值</w:t>
            </w:r>
          </w:p>
        </w:tc>
        <w:tc>
          <w:tcPr>
            <w:tcW w:w="1812" w:type="pct"/>
            <w:gridSpan w:val="2"/>
            <w:vAlign w:val="center"/>
          </w:tcPr>
          <w:p w14:paraId="35E0524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13</w:t>
            </w:r>
            <w:r>
              <w:rPr>
                <w:rFonts w:ascii="宋体" w:hAnsi="宋体"/>
                <w:kern w:val="0"/>
                <w:sz w:val="18"/>
              </w:rPr>
              <w:t>％</w:t>
            </w:r>
            <w:r>
              <w:rPr>
                <w:rFonts w:hint="eastAsia" w:ascii="宋体" w:hAnsi="宋体"/>
                <w:kern w:val="0"/>
                <w:sz w:val="18"/>
              </w:rPr>
              <w:t>～18</w:t>
            </w:r>
            <w:r>
              <w:rPr>
                <w:rFonts w:ascii="宋体" w:hAnsi="宋体"/>
                <w:kern w:val="0"/>
                <w:sz w:val="18"/>
              </w:rPr>
              <w:t>％</w:t>
            </w:r>
          </w:p>
        </w:tc>
        <w:tc>
          <w:tcPr>
            <w:tcW w:w="989" w:type="pct"/>
            <w:vMerge w:val="restart"/>
            <w:vAlign w:val="center"/>
          </w:tcPr>
          <w:p w14:paraId="79C12AB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JTG E20—2011</w:t>
            </w:r>
            <w:r>
              <w:rPr>
                <w:rFonts w:ascii="宋体" w:hAnsi="宋体"/>
                <w:kern w:val="0"/>
                <w:sz w:val="18"/>
              </w:rPr>
              <w:t xml:space="preserve"> </w:t>
            </w:r>
            <w:r>
              <w:rPr>
                <w:rFonts w:hint="eastAsia" w:ascii="宋体" w:hAnsi="宋体"/>
                <w:kern w:val="0"/>
                <w:sz w:val="18"/>
              </w:rPr>
              <w:t>T</w:t>
            </w:r>
            <w:r>
              <w:rPr>
                <w:rFonts w:ascii="宋体" w:hAnsi="宋体"/>
                <w:kern w:val="0"/>
                <w:sz w:val="18"/>
              </w:rPr>
              <w:t>070</w:t>
            </w:r>
            <w:r>
              <w:rPr>
                <w:rFonts w:hint="eastAsia" w:ascii="宋体" w:hAnsi="宋体"/>
                <w:kern w:val="0"/>
                <w:sz w:val="18"/>
              </w:rPr>
              <w:t>8</w:t>
            </w:r>
          </w:p>
        </w:tc>
      </w:tr>
      <w:tr w14:paraId="0913CD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Merge w:val="continue"/>
            <w:vAlign w:val="center"/>
          </w:tcPr>
          <w:p w14:paraId="762ABB45">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835" w:type="pct"/>
            <w:vMerge w:val="continue"/>
            <w:vAlign w:val="center"/>
          </w:tcPr>
          <w:p w14:paraId="605F437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c>
          <w:tcPr>
            <w:tcW w:w="456" w:type="pct"/>
            <w:vAlign w:val="center"/>
          </w:tcPr>
          <w:p w14:paraId="41AD529A">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单值</w:t>
            </w:r>
          </w:p>
        </w:tc>
        <w:tc>
          <w:tcPr>
            <w:tcW w:w="1812" w:type="pct"/>
            <w:gridSpan w:val="2"/>
            <w:vAlign w:val="center"/>
          </w:tcPr>
          <w:p w14:paraId="3146B44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11</w:t>
            </w:r>
            <w:r>
              <w:rPr>
                <w:rFonts w:ascii="宋体" w:hAnsi="宋体"/>
                <w:kern w:val="0"/>
                <w:sz w:val="18"/>
              </w:rPr>
              <w:t>％</w:t>
            </w:r>
            <w:r>
              <w:rPr>
                <w:rFonts w:hint="eastAsia" w:ascii="宋体" w:hAnsi="宋体"/>
                <w:kern w:val="0"/>
                <w:sz w:val="18"/>
              </w:rPr>
              <w:t>～20</w:t>
            </w:r>
            <w:r>
              <w:rPr>
                <w:rFonts w:ascii="宋体" w:hAnsi="宋体"/>
                <w:kern w:val="0"/>
                <w:sz w:val="18"/>
              </w:rPr>
              <w:t>％</w:t>
            </w:r>
          </w:p>
        </w:tc>
        <w:tc>
          <w:tcPr>
            <w:tcW w:w="989" w:type="pct"/>
            <w:vMerge w:val="continue"/>
            <w:vAlign w:val="center"/>
          </w:tcPr>
          <w:p w14:paraId="007E51C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1133BC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Align w:val="center"/>
          </w:tcPr>
          <w:p w14:paraId="57CC20F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平整度(最大间隙)</w:t>
            </w:r>
          </w:p>
        </w:tc>
        <w:tc>
          <w:tcPr>
            <w:tcW w:w="1291" w:type="pct"/>
            <w:gridSpan w:val="2"/>
            <w:vAlign w:val="center"/>
          </w:tcPr>
          <w:p w14:paraId="4D1AB9F4">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随时，接缝处单杆评定，正常段连续1</w:t>
            </w:r>
            <w:r>
              <w:rPr>
                <w:rFonts w:ascii="宋体" w:hAnsi="宋体"/>
                <w:kern w:val="0"/>
                <w:sz w:val="18"/>
              </w:rPr>
              <w:t>0</w:t>
            </w:r>
            <w:r>
              <w:rPr>
                <w:rFonts w:hint="eastAsia" w:ascii="宋体" w:hAnsi="宋体"/>
                <w:kern w:val="0"/>
                <w:sz w:val="18"/>
              </w:rPr>
              <w:t>尺平均值评定</w:t>
            </w:r>
          </w:p>
        </w:tc>
        <w:tc>
          <w:tcPr>
            <w:tcW w:w="1018" w:type="pct"/>
            <w:vAlign w:val="center"/>
          </w:tcPr>
          <w:p w14:paraId="155CA999">
            <w:pPr>
              <w:tabs>
                <w:tab w:val="left" w:pos="1034"/>
                <w:tab w:val="center" w:pos="4201"/>
                <w:tab w:val="right" w:leader="dot" w:pos="9298"/>
              </w:tabs>
              <w:autoSpaceDE w:val="0"/>
              <w:autoSpaceDN w:val="0"/>
              <w:spacing w:line="240" w:lineRule="auto"/>
              <w:jc w:val="center"/>
              <w:rPr>
                <w:rFonts w:ascii="宋体" w:hAnsi="宋体"/>
                <w:kern w:val="0"/>
                <w:sz w:val="18"/>
              </w:rPr>
            </w:pPr>
            <w:r>
              <w:rPr>
                <w:rFonts w:hint="eastAsia" w:ascii="宋体" w:hAnsi="宋体"/>
                <w:kern w:val="0"/>
                <w:sz w:val="18"/>
              </w:rPr>
              <w:t>5</w:t>
            </w:r>
            <w:r>
              <w:rPr>
                <w:rFonts w:ascii="宋体" w:hAnsi="宋体"/>
                <w:kern w:val="0"/>
                <w:sz w:val="18"/>
              </w:rPr>
              <w:t> </w:t>
            </w:r>
            <w:r>
              <w:rPr>
                <w:rFonts w:hint="eastAsia" w:ascii="宋体" w:hAnsi="宋体"/>
                <w:kern w:val="0"/>
                <w:sz w:val="18"/>
              </w:rPr>
              <w:t>mm</w:t>
            </w:r>
          </w:p>
        </w:tc>
        <w:tc>
          <w:tcPr>
            <w:tcW w:w="794" w:type="pct"/>
            <w:vAlign w:val="center"/>
          </w:tcPr>
          <w:p w14:paraId="1EE311E6">
            <w:pPr>
              <w:tabs>
                <w:tab w:val="left" w:pos="1034"/>
                <w:tab w:val="center" w:pos="4201"/>
                <w:tab w:val="right" w:leader="dot" w:pos="9298"/>
              </w:tabs>
              <w:autoSpaceDE w:val="0"/>
              <w:autoSpaceDN w:val="0"/>
              <w:spacing w:line="240" w:lineRule="auto"/>
              <w:jc w:val="center"/>
              <w:rPr>
                <w:rFonts w:ascii="宋体" w:hAnsi="宋体"/>
                <w:kern w:val="0"/>
                <w:sz w:val="18"/>
              </w:rPr>
            </w:pPr>
            <w:r>
              <w:rPr>
                <w:rFonts w:hint="eastAsia" w:ascii="宋体" w:hAnsi="宋体"/>
                <w:kern w:val="0"/>
                <w:sz w:val="18"/>
              </w:rPr>
              <w:t>7</w:t>
            </w:r>
            <w:r>
              <w:rPr>
                <w:rFonts w:ascii="宋体" w:hAnsi="宋体"/>
                <w:kern w:val="0"/>
                <w:sz w:val="18"/>
              </w:rPr>
              <w:t> </w:t>
            </w:r>
            <w:r>
              <w:rPr>
                <w:rFonts w:hint="eastAsia" w:ascii="宋体" w:hAnsi="宋体"/>
                <w:kern w:val="0"/>
                <w:sz w:val="18"/>
              </w:rPr>
              <w:t>mm</w:t>
            </w:r>
          </w:p>
        </w:tc>
        <w:tc>
          <w:tcPr>
            <w:tcW w:w="989" w:type="pct"/>
            <w:vAlign w:val="center"/>
          </w:tcPr>
          <w:p w14:paraId="08326AB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JTG 3450—2019</w:t>
            </w:r>
            <w:r>
              <w:rPr>
                <w:rFonts w:ascii="宋体" w:hAnsi="宋体"/>
                <w:kern w:val="0"/>
                <w:sz w:val="18"/>
              </w:rPr>
              <w:t xml:space="preserve"> </w:t>
            </w:r>
            <w:r>
              <w:rPr>
                <w:rFonts w:hint="eastAsia" w:ascii="宋体" w:hAnsi="宋体"/>
                <w:kern w:val="0"/>
                <w:sz w:val="18"/>
              </w:rPr>
              <w:t>T</w:t>
            </w:r>
            <w:r>
              <w:rPr>
                <w:rFonts w:ascii="宋体" w:hAnsi="宋体"/>
                <w:kern w:val="0"/>
                <w:sz w:val="18"/>
              </w:rPr>
              <w:t>0931</w:t>
            </w:r>
          </w:p>
        </w:tc>
      </w:tr>
      <w:tr w14:paraId="5D7B0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Align w:val="center"/>
          </w:tcPr>
          <w:p w14:paraId="08CE91E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平整度(标准差)</w:t>
            </w:r>
          </w:p>
        </w:tc>
        <w:tc>
          <w:tcPr>
            <w:tcW w:w="1291" w:type="pct"/>
            <w:gridSpan w:val="2"/>
            <w:vAlign w:val="center"/>
          </w:tcPr>
          <w:p w14:paraId="77C1363E">
            <w:pPr>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连续测定</w:t>
            </w:r>
          </w:p>
        </w:tc>
        <w:tc>
          <w:tcPr>
            <w:tcW w:w="1018" w:type="pct"/>
            <w:vAlign w:val="center"/>
          </w:tcPr>
          <w:p w14:paraId="4A4AE01C">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2.4</w:t>
            </w:r>
            <w:r>
              <w:rPr>
                <w:rFonts w:ascii="宋体" w:hAnsi="宋体"/>
                <w:kern w:val="0"/>
                <w:sz w:val="18"/>
              </w:rPr>
              <w:t> </w:t>
            </w:r>
            <w:r>
              <w:rPr>
                <w:rFonts w:hint="eastAsia" w:ascii="宋体" w:hAnsi="宋体"/>
                <w:kern w:val="0"/>
                <w:sz w:val="18"/>
              </w:rPr>
              <w:t>mm</w:t>
            </w:r>
          </w:p>
        </w:tc>
        <w:tc>
          <w:tcPr>
            <w:tcW w:w="794" w:type="pct"/>
            <w:vAlign w:val="center"/>
          </w:tcPr>
          <w:p w14:paraId="3584681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3.0</w:t>
            </w:r>
            <w:r>
              <w:rPr>
                <w:rFonts w:ascii="宋体" w:hAnsi="宋体"/>
                <w:kern w:val="0"/>
                <w:sz w:val="18"/>
              </w:rPr>
              <w:t> mm</w:t>
            </w:r>
          </w:p>
        </w:tc>
        <w:tc>
          <w:tcPr>
            <w:tcW w:w="989" w:type="pct"/>
            <w:vAlign w:val="center"/>
          </w:tcPr>
          <w:p w14:paraId="339B077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JTG 3450—2019</w:t>
            </w:r>
            <w:r>
              <w:rPr>
                <w:rFonts w:ascii="宋体" w:hAnsi="宋体"/>
                <w:kern w:val="0"/>
                <w:sz w:val="18"/>
              </w:rPr>
              <w:t xml:space="preserve"> </w:t>
            </w:r>
            <w:r>
              <w:rPr>
                <w:rFonts w:hint="eastAsia" w:ascii="宋体" w:hAnsi="宋体"/>
                <w:kern w:val="0"/>
                <w:sz w:val="18"/>
              </w:rPr>
              <w:t>T0</w:t>
            </w:r>
            <w:r>
              <w:rPr>
                <w:rFonts w:ascii="宋体" w:hAnsi="宋体"/>
                <w:kern w:val="0"/>
                <w:sz w:val="18"/>
              </w:rPr>
              <w:t>932</w:t>
            </w:r>
          </w:p>
        </w:tc>
      </w:tr>
      <w:tr w14:paraId="5872D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Align w:val="center"/>
          </w:tcPr>
          <w:p w14:paraId="551E651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宽度</w:t>
            </w:r>
          </w:p>
        </w:tc>
        <w:tc>
          <w:tcPr>
            <w:tcW w:w="1291" w:type="pct"/>
            <w:gridSpan w:val="2"/>
            <w:vAlign w:val="center"/>
          </w:tcPr>
          <w:p w14:paraId="0A19F2F6">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检测每个断面</w:t>
            </w:r>
          </w:p>
        </w:tc>
        <w:tc>
          <w:tcPr>
            <w:tcW w:w="1812" w:type="pct"/>
            <w:gridSpan w:val="2"/>
            <w:vAlign w:val="center"/>
          </w:tcPr>
          <w:p w14:paraId="208A90A6">
            <w:pPr>
              <w:tabs>
                <w:tab w:val="left" w:pos="1034"/>
                <w:tab w:val="center" w:pos="4201"/>
                <w:tab w:val="right" w:leader="dot" w:pos="9298"/>
              </w:tabs>
              <w:autoSpaceDE w:val="0"/>
              <w:autoSpaceDN w:val="0"/>
              <w:spacing w:line="240" w:lineRule="auto"/>
              <w:jc w:val="center"/>
              <w:rPr>
                <w:rFonts w:ascii="宋体" w:hAnsi="宋体"/>
                <w:kern w:val="0"/>
                <w:sz w:val="18"/>
              </w:rPr>
            </w:pPr>
            <w:r>
              <w:rPr>
                <w:rFonts w:hint="eastAsia" w:ascii="宋体" w:hAnsi="宋体"/>
                <w:kern w:val="0"/>
                <w:sz w:val="18"/>
              </w:rPr>
              <w:t>不小于设计值</w:t>
            </w:r>
          </w:p>
        </w:tc>
        <w:tc>
          <w:tcPr>
            <w:tcW w:w="989" w:type="pct"/>
            <w:vMerge w:val="restart"/>
            <w:vAlign w:val="center"/>
          </w:tcPr>
          <w:p w14:paraId="7EDBFC81">
            <w:pPr>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JTG 3450—2019</w:t>
            </w:r>
            <w:r>
              <w:rPr>
                <w:rFonts w:ascii="宋体" w:hAnsi="宋体"/>
                <w:kern w:val="0"/>
                <w:sz w:val="18"/>
              </w:rPr>
              <w:t xml:space="preserve"> </w:t>
            </w:r>
            <w:r>
              <w:rPr>
                <w:rFonts w:hint="eastAsia" w:ascii="宋体" w:hAnsi="宋体"/>
                <w:kern w:val="0"/>
                <w:sz w:val="18"/>
              </w:rPr>
              <w:t>T</w:t>
            </w:r>
            <w:r>
              <w:rPr>
                <w:rFonts w:ascii="宋体" w:hAnsi="宋体"/>
                <w:kern w:val="0"/>
                <w:sz w:val="18"/>
              </w:rPr>
              <w:t>0911</w:t>
            </w:r>
          </w:p>
        </w:tc>
      </w:tr>
      <w:tr w14:paraId="39BFE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Align w:val="center"/>
          </w:tcPr>
          <w:p w14:paraId="48A18CD3">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纵断面高程</w:t>
            </w:r>
          </w:p>
        </w:tc>
        <w:tc>
          <w:tcPr>
            <w:tcW w:w="1291" w:type="pct"/>
            <w:gridSpan w:val="2"/>
            <w:vAlign w:val="center"/>
          </w:tcPr>
          <w:p w14:paraId="78A4516B">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检测每个断面</w:t>
            </w:r>
          </w:p>
        </w:tc>
        <w:tc>
          <w:tcPr>
            <w:tcW w:w="1018" w:type="pct"/>
            <w:vAlign w:val="center"/>
          </w:tcPr>
          <w:p w14:paraId="52D45CBF">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±1</w:t>
            </w:r>
            <w:r>
              <w:rPr>
                <w:rFonts w:ascii="宋体" w:hAnsi="宋体"/>
                <w:kern w:val="0"/>
                <w:sz w:val="18"/>
              </w:rPr>
              <w:t>0 </w:t>
            </w:r>
            <w:r>
              <w:rPr>
                <w:rFonts w:hint="eastAsia" w:ascii="宋体" w:hAnsi="宋体"/>
                <w:kern w:val="0"/>
                <w:sz w:val="18"/>
              </w:rPr>
              <w:t>mm</w:t>
            </w:r>
          </w:p>
        </w:tc>
        <w:tc>
          <w:tcPr>
            <w:tcW w:w="794" w:type="pct"/>
            <w:vAlign w:val="center"/>
          </w:tcPr>
          <w:p w14:paraId="37F6F45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±1</w:t>
            </w:r>
            <w:r>
              <w:rPr>
                <w:rFonts w:ascii="宋体" w:hAnsi="宋体"/>
                <w:kern w:val="0"/>
                <w:sz w:val="18"/>
              </w:rPr>
              <w:t>0 </w:t>
            </w:r>
            <w:r>
              <w:rPr>
                <w:rFonts w:hint="eastAsia" w:ascii="宋体" w:hAnsi="宋体"/>
                <w:kern w:val="0"/>
                <w:sz w:val="18"/>
              </w:rPr>
              <w:t>mm</w:t>
            </w:r>
          </w:p>
        </w:tc>
        <w:tc>
          <w:tcPr>
            <w:tcW w:w="989" w:type="pct"/>
            <w:vMerge w:val="continue"/>
            <w:vAlign w:val="center"/>
          </w:tcPr>
          <w:p w14:paraId="1809599F">
            <w:pPr>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r w14:paraId="623131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08" w:type="pct"/>
            <w:vAlign w:val="center"/>
          </w:tcPr>
          <w:p w14:paraId="121A4EB2">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横坡度</w:t>
            </w:r>
          </w:p>
        </w:tc>
        <w:tc>
          <w:tcPr>
            <w:tcW w:w="1291" w:type="pct"/>
            <w:gridSpan w:val="2"/>
            <w:vAlign w:val="center"/>
          </w:tcPr>
          <w:p w14:paraId="1649B997">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检测每个断面</w:t>
            </w:r>
          </w:p>
        </w:tc>
        <w:tc>
          <w:tcPr>
            <w:tcW w:w="1018" w:type="pct"/>
            <w:vAlign w:val="center"/>
          </w:tcPr>
          <w:p w14:paraId="25618ECE">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±0</w:t>
            </w:r>
            <w:r>
              <w:rPr>
                <w:rFonts w:ascii="宋体" w:hAnsi="宋体"/>
                <w:kern w:val="0"/>
                <w:sz w:val="18"/>
              </w:rPr>
              <w:t>.3％</w:t>
            </w:r>
          </w:p>
        </w:tc>
        <w:tc>
          <w:tcPr>
            <w:tcW w:w="794" w:type="pct"/>
            <w:vAlign w:val="center"/>
          </w:tcPr>
          <w:p w14:paraId="2AB02A1D">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r>
              <w:rPr>
                <w:rFonts w:hint="eastAsia" w:ascii="宋体" w:hAnsi="宋体"/>
                <w:kern w:val="0"/>
                <w:sz w:val="18"/>
              </w:rPr>
              <w:t>±0</w:t>
            </w:r>
            <w:r>
              <w:rPr>
                <w:rFonts w:ascii="宋体" w:hAnsi="宋体"/>
                <w:kern w:val="0"/>
                <w:sz w:val="18"/>
              </w:rPr>
              <w:t>.5％</w:t>
            </w:r>
          </w:p>
        </w:tc>
        <w:tc>
          <w:tcPr>
            <w:tcW w:w="989" w:type="pct"/>
            <w:vMerge w:val="continue"/>
            <w:vAlign w:val="center"/>
          </w:tcPr>
          <w:p w14:paraId="434C53A1">
            <w:pPr>
              <w:widowControl/>
              <w:tabs>
                <w:tab w:val="left" w:pos="1034"/>
                <w:tab w:val="center" w:pos="4201"/>
                <w:tab w:val="right" w:leader="dot" w:pos="9298"/>
              </w:tabs>
              <w:autoSpaceDE w:val="0"/>
              <w:autoSpaceDN w:val="0"/>
              <w:adjustRightInd/>
              <w:spacing w:line="240" w:lineRule="auto"/>
              <w:jc w:val="center"/>
              <w:rPr>
                <w:rFonts w:ascii="宋体" w:hAnsi="宋体"/>
                <w:kern w:val="0"/>
                <w:sz w:val="18"/>
              </w:rPr>
            </w:pPr>
          </w:p>
        </w:tc>
      </w:tr>
    </w:tbl>
    <w:p w14:paraId="14340A08">
      <w:pPr>
        <w:pStyle w:val="107"/>
        <w:spacing w:before="156" w:after="156"/>
      </w:pPr>
      <w:bookmarkStart w:id="221" w:name="_Toc198815912"/>
      <w:bookmarkStart w:id="222" w:name="_Toc198802240"/>
      <w:bookmarkStart w:id="223" w:name="_Toc195013025"/>
      <w:bookmarkStart w:id="224" w:name="_Toc199251491"/>
      <w:bookmarkStart w:id="225" w:name="_Toc198816995"/>
      <w:bookmarkStart w:id="226" w:name="_Toc169879620"/>
      <w:r>
        <w:rPr>
          <w:rFonts w:hint="eastAsia"/>
        </w:rPr>
        <w:t>交工验收阶段的工程质量检查与验收</w:t>
      </w:r>
      <w:bookmarkEnd w:id="221"/>
      <w:bookmarkEnd w:id="222"/>
      <w:bookmarkEnd w:id="223"/>
      <w:bookmarkEnd w:id="224"/>
      <w:bookmarkEnd w:id="225"/>
      <w:bookmarkEnd w:id="226"/>
    </w:p>
    <w:p w14:paraId="2B7198DE">
      <w:pPr>
        <w:pStyle w:val="58"/>
        <w:ind w:firstLine="420"/>
      </w:pPr>
      <w:r>
        <w:rPr>
          <w:rFonts w:hint="eastAsia"/>
        </w:rPr>
        <w:t>交工验收阶段的工程质量检查与验收，应符合JTG F80/1的规定。</w:t>
      </w:r>
    </w:p>
    <w:p w14:paraId="40024CD2">
      <w:pPr>
        <w:pStyle w:val="58"/>
        <w:ind w:firstLine="420"/>
      </w:pPr>
    </w:p>
    <w:p w14:paraId="3349FBC4">
      <w:pPr>
        <w:pStyle w:val="58"/>
        <w:ind w:firstLine="199" w:firstLineChars="95"/>
        <w:sectPr>
          <w:footerReference r:id="rId10" w:type="default"/>
          <w:pgSz w:w="11906" w:h="16838"/>
          <w:pgMar w:top="567" w:right="1134" w:bottom="1134" w:left="1134" w:header="1418" w:footer="1134" w:gutter="284"/>
          <w:pgNumType w:start="1"/>
          <w:cols w:space="425" w:num="1"/>
          <w:formProt w:val="0"/>
          <w:docGrid w:type="lines" w:linePitch="312" w:charSpace="0"/>
        </w:sectPr>
      </w:pPr>
    </w:p>
    <w:bookmarkEnd w:id="25"/>
    <w:p w14:paraId="384C6220">
      <w:pPr>
        <w:pStyle w:val="200"/>
        <w:rPr>
          <w:vanish w:val="0"/>
        </w:rPr>
      </w:pPr>
      <w:bookmarkStart w:id="227" w:name="BookMark5"/>
    </w:p>
    <w:p w14:paraId="655D29E2">
      <w:pPr>
        <w:pStyle w:val="201"/>
        <w:rPr>
          <w:vanish w:val="0"/>
        </w:rPr>
      </w:pPr>
    </w:p>
    <w:p w14:paraId="421CAF26">
      <w:pPr>
        <w:pStyle w:val="78"/>
        <w:spacing w:before="78" w:after="156"/>
      </w:pPr>
      <w:r>
        <w:br w:type="textWrapping"/>
      </w:r>
      <w:bookmarkStart w:id="228" w:name="_Toc169879621"/>
      <w:bookmarkStart w:id="229" w:name="_Toc198802241"/>
      <w:bookmarkStart w:id="230" w:name="_Toc195013026"/>
      <w:bookmarkStart w:id="231" w:name="_Toc198815913"/>
      <w:bookmarkStart w:id="232" w:name="_Toc199251492"/>
      <w:bookmarkStart w:id="233" w:name="_Toc198816996"/>
      <w:r>
        <w:rPr>
          <w:rFonts w:hint="eastAsia"/>
        </w:rPr>
        <w:t>（规范性）</w:t>
      </w:r>
      <w:r>
        <w:br w:type="textWrapping"/>
      </w:r>
      <w:bookmarkEnd w:id="228"/>
      <w:r>
        <w:rPr>
          <w:rFonts w:hint="eastAsia"/>
        </w:rPr>
        <w:t>LSPM混合料设计方法</w:t>
      </w:r>
      <w:bookmarkEnd w:id="229"/>
      <w:bookmarkEnd w:id="230"/>
      <w:bookmarkEnd w:id="231"/>
      <w:bookmarkEnd w:id="232"/>
      <w:bookmarkEnd w:id="233"/>
    </w:p>
    <w:p w14:paraId="61781BCB">
      <w:pPr>
        <w:pStyle w:val="80"/>
        <w:spacing w:before="156" w:after="156"/>
      </w:pPr>
      <w:bookmarkStart w:id="234" w:name="_Toc199251493"/>
      <w:bookmarkStart w:id="235" w:name="_Toc195013027"/>
      <w:bookmarkStart w:id="236" w:name="_Toc198816997"/>
      <w:bookmarkStart w:id="237" w:name="_Toc198802242"/>
      <w:bookmarkStart w:id="238" w:name="_Toc198815914"/>
      <w:r>
        <w:rPr>
          <w:rFonts w:hint="eastAsia"/>
        </w:rPr>
        <w:t>概述</w:t>
      </w:r>
      <w:bookmarkEnd w:id="234"/>
      <w:bookmarkEnd w:id="235"/>
      <w:bookmarkEnd w:id="236"/>
      <w:bookmarkEnd w:id="237"/>
      <w:bookmarkEnd w:id="238"/>
    </w:p>
    <w:p w14:paraId="57CF3687">
      <w:pPr>
        <w:pStyle w:val="58"/>
        <w:ind w:firstLine="420"/>
      </w:pPr>
      <w:bookmarkStart w:id="239" w:name="_Toc169879623"/>
      <w:r>
        <w:rPr>
          <w:rFonts w:hint="eastAsia"/>
        </w:rPr>
        <w:t>目标配合比设计可按图A.1的步骤进行。</w:t>
      </w:r>
    </w:p>
    <w:p w14:paraId="436BB594">
      <w:pPr>
        <w:pStyle w:val="58"/>
        <w:ind w:firstLine="0" w:firstLineChars="0"/>
        <w:jc w:val="center"/>
      </w:pPr>
      <w:r>
        <w:drawing>
          <wp:inline distT="0" distB="0" distL="0" distR="0">
            <wp:extent cx="5939790" cy="5882640"/>
            <wp:effectExtent l="0" t="0" r="3810" b="3810"/>
            <wp:docPr id="10870228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022805"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39790" cy="5882640"/>
                    </a:xfrm>
                    <a:prstGeom prst="rect">
                      <a:avLst/>
                    </a:prstGeom>
                    <a:noFill/>
                    <a:ln>
                      <a:noFill/>
                    </a:ln>
                  </pic:spPr>
                </pic:pic>
              </a:graphicData>
            </a:graphic>
          </wp:inline>
        </w:drawing>
      </w:r>
    </w:p>
    <w:p w14:paraId="1621D51F">
      <w:pPr>
        <w:pStyle w:val="85"/>
        <w:spacing w:before="156" w:after="156"/>
      </w:pPr>
      <w:r>
        <w:rPr>
          <w:rFonts w:hint="eastAsia"/>
        </w:rPr>
        <w:t>LSPM目标配合比设计流程图</w:t>
      </w:r>
    </w:p>
    <w:bookmarkEnd w:id="239"/>
    <w:p w14:paraId="2AF9BE62">
      <w:pPr>
        <w:pStyle w:val="80"/>
        <w:spacing w:before="156" w:after="156"/>
      </w:pPr>
      <w:bookmarkStart w:id="240" w:name="_Toc195013028"/>
      <w:bookmarkStart w:id="241" w:name="_Toc198802243"/>
      <w:bookmarkStart w:id="242" w:name="_Toc198816998"/>
      <w:bookmarkStart w:id="243" w:name="_Toc199251494"/>
      <w:bookmarkStart w:id="244" w:name="_Toc198815915"/>
      <w:r>
        <w:rPr>
          <w:rFonts w:hint="eastAsia"/>
        </w:rPr>
        <w:t>材料选择</w:t>
      </w:r>
      <w:bookmarkEnd w:id="240"/>
      <w:bookmarkEnd w:id="241"/>
      <w:bookmarkEnd w:id="242"/>
      <w:bookmarkEnd w:id="243"/>
      <w:bookmarkEnd w:id="244"/>
    </w:p>
    <w:p w14:paraId="4A099150">
      <w:pPr>
        <w:pStyle w:val="214"/>
        <w:ind w:left="0"/>
      </w:pPr>
      <w:r>
        <w:rPr>
          <w:rFonts w:hint="eastAsia"/>
        </w:rPr>
        <w:t>配合比设计所用材料应符合项目所在地环境和交通条件要求，其技术要求应符合第4章的有关规定。</w:t>
      </w:r>
    </w:p>
    <w:p w14:paraId="6C18907D">
      <w:pPr>
        <w:pStyle w:val="214"/>
        <w:ind w:left="0"/>
      </w:pPr>
      <w:r>
        <w:rPr>
          <w:rFonts w:hint="eastAsia"/>
        </w:rPr>
        <w:t>配合比设计所用各种原材料应与工程实际使用材料一致，取样应具有代表性。</w:t>
      </w:r>
    </w:p>
    <w:p w14:paraId="056BF0DE">
      <w:pPr>
        <w:pStyle w:val="80"/>
        <w:spacing w:before="156" w:after="156"/>
      </w:pPr>
      <w:bookmarkStart w:id="245" w:name="_Toc195013029"/>
      <w:bookmarkStart w:id="246" w:name="_Toc198815916"/>
      <w:bookmarkStart w:id="247" w:name="_Toc199251495"/>
      <w:bookmarkStart w:id="248" w:name="_Toc198802244"/>
      <w:bookmarkStart w:id="249" w:name="_Toc198816999"/>
      <w:r>
        <w:rPr>
          <w:rFonts w:hint="eastAsia"/>
        </w:rPr>
        <w:t>矿料级配设计</w:t>
      </w:r>
      <w:bookmarkEnd w:id="245"/>
      <w:bookmarkEnd w:id="246"/>
      <w:bookmarkEnd w:id="247"/>
      <w:bookmarkEnd w:id="248"/>
      <w:bookmarkEnd w:id="249"/>
    </w:p>
    <w:p w14:paraId="19042607">
      <w:pPr>
        <w:pStyle w:val="214"/>
        <w:ind w:left="0"/>
      </w:pPr>
      <w:r>
        <w:rPr>
          <w:rFonts w:hint="eastAsia"/>
        </w:rPr>
        <w:t>LSPM路面工程级配应采用5.2规定的矿料级配范围。其中LSPM-20以4.75</w:t>
      </w:r>
      <w:r>
        <w:t> </w:t>
      </w:r>
      <w:r>
        <w:rPr>
          <w:rFonts w:hint="eastAsia"/>
        </w:rPr>
        <w:t>mm作为关键筛孔，LSPM-25、LSPM-30以9.5</w:t>
      </w:r>
      <w:r>
        <w:t> </w:t>
      </w:r>
      <w:r>
        <w:rPr>
          <w:rFonts w:hint="eastAsia"/>
        </w:rPr>
        <w:t>mm作为关键筛孔。</w:t>
      </w:r>
    </w:p>
    <w:p w14:paraId="4F33A8EB">
      <w:pPr>
        <w:pStyle w:val="214"/>
        <w:ind w:left="0"/>
      </w:pPr>
      <w:r>
        <w:rPr>
          <w:rFonts w:hint="eastAsia"/>
        </w:rPr>
        <w:t>LSPM属于单一大粒径骨架嵌挤结构，通过调整和控制0.075</w:t>
      </w:r>
      <w:r>
        <w:t> </w:t>
      </w:r>
      <w:r>
        <w:rPr>
          <w:rFonts w:hint="eastAsia"/>
        </w:rPr>
        <w:t>mm、2.36</w:t>
      </w:r>
      <w:r>
        <w:t> </w:t>
      </w:r>
      <w:r>
        <w:rPr>
          <w:rFonts w:hint="eastAsia"/>
        </w:rPr>
        <w:t>mm、关键筛孔的通过率，在级配范围内调试3组粗细不同的矿料级配作为初选级配。</w:t>
      </w:r>
    </w:p>
    <w:p w14:paraId="0BE41910">
      <w:pPr>
        <w:pStyle w:val="214"/>
        <w:ind w:left="0"/>
      </w:pPr>
      <w:r>
        <w:rPr>
          <w:rFonts w:hint="eastAsia"/>
        </w:rPr>
        <w:t>对每一组初选级配，按</w:t>
      </w:r>
      <w:r>
        <w:t>JTG E20</w:t>
      </w:r>
      <w:r>
        <w:rPr>
          <w:rFonts w:hint="eastAsia"/>
        </w:rPr>
        <w:t>—</w:t>
      </w:r>
      <w:r>
        <w:t>2011 T0705</w:t>
      </w:r>
      <w:r>
        <w:rPr>
          <w:rFonts w:hint="eastAsia"/>
        </w:rPr>
        <w:t>试验方法计算集料的比表面积SA和被矿料吸收沥青含量P</w:t>
      </w:r>
      <w:r>
        <w:rPr>
          <w:rFonts w:hint="eastAsia"/>
          <w:vertAlign w:val="subscript"/>
        </w:rPr>
        <w:t>ba</w:t>
      </w:r>
      <w:r>
        <w:rPr>
          <w:rFonts w:hint="eastAsia"/>
        </w:rPr>
        <w:t>，根据期望有效沥青膜厚度DA按公式（A.1）预估每一组混合料的沥青用量P</w:t>
      </w:r>
      <w:r>
        <w:rPr>
          <w:rFonts w:hint="eastAsia"/>
          <w:vertAlign w:val="subscript"/>
        </w:rPr>
        <w:t>b</w:t>
      </w:r>
      <w:r>
        <w:rPr>
          <w:rFonts w:hint="eastAsia"/>
        </w:rPr>
        <w:t>，有效沥青膜厚度应不小于12</w:t>
      </w:r>
      <w:r>
        <w:t> </w:t>
      </w:r>
      <w:r>
        <w:rPr>
          <w:rFonts w:ascii="Times New Roman"/>
        </w:rPr>
        <w:t>μ</w:t>
      </w:r>
      <w:r>
        <w:rPr>
          <w:rFonts w:hint="eastAsia"/>
        </w:rPr>
        <w:t>m。综合选择其一作为初选沥青用量。也可根据同类工程经验预估初选沥青用量。</w:t>
      </w:r>
    </w:p>
    <w:p w14:paraId="48A23E8C">
      <w:pPr>
        <w:pStyle w:val="115"/>
      </w:pPr>
      <w:r>
        <w:tab/>
      </w:r>
      <m:oMath>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b</m:t>
            </m:r>
            <m:ctrlPr>
              <w:rPr>
                <w:rFonts w:ascii="Cambria Math" w:hAnsi="Cambria Math"/>
                <w:i/>
              </w:rPr>
            </m:ctrlPr>
          </m:sub>
        </m:sSub>
        <m:r>
          <m:rPr/>
          <w:rPr>
            <w:rFonts w:hint="eastAsia" w:ascii="Cambria Math" w:hAnsi="Cambria Math"/>
          </w:rPr>
          <m:t>=</m:t>
        </m:r>
        <m:r>
          <m:rPr/>
          <w:rPr>
            <w:rFonts w:ascii="Cambria Math" w:hAnsi="Cambria Math"/>
          </w:rPr>
          <m:t>DA×SA÷10+</m:t>
        </m:r>
        <m:sSub>
          <m:sSubPr>
            <m:ctrlPr>
              <w:rPr>
                <w:rFonts w:ascii="Cambria Math" w:hAnsi="Cambria Math"/>
                <w:i/>
              </w:rPr>
            </m:ctrlPr>
          </m:sSubPr>
          <m:e>
            <m:r>
              <m:rPr/>
              <w:rPr>
                <w:rFonts w:ascii="Cambria Math" w:hAnsi="Cambria Math"/>
              </w:rPr>
              <m:t>P</m:t>
            </m:r>
            <m:ctrlPr>
              <w:rPr>
                <w:rFonts w:ascii="Cambria Math" w:hAnsi="Cambria Math"/>
                <w:i/>
              </w:rPr>
            </m:ctrlPr>
          </m:e>
          <m:sub>
            <m:r>
              <m:rPr/>
              <w:rPr>
                <w:rFonts w:hint="eastAsia" w:ascii="Cambria Math" w:hAnsi="Cambria Math"/>
              </w:rPr>
              <m:t>ba</m:t>
            </m:r>
            <m:ctrlPr>
              <w:rPr>
                <w:rFonts w:ascii="Cambria Math" w:hAnsi="Cambria Math"/>
                <w:i/>
              </w:rPr>
            </m:ctrlPr>
          </m:sub>
        </m:sSub>
      </m:oMath>
      <w:r>
        <w:rPr>
          <w:rFonts w:ascii="微软雅黑" w:hAnsi="微软雅黑" w:eastAsia="微软雅黑"/>
        </w:rPr>
        <w:tab/>
      </w:r>
      <w:r>
        <w:t>(A.</w:t>
      </w:r>
      <w:r>
        <w:fldChar w:fldCharType="begin"/>
      </w:r>
      <w:r>
        <w:instrText xml:space="preserve"> seq fulu_equation_133923662717115534 </w:instrText>
      </w:r>
      <w:r>
        <w:fldChar w:fldCharType="separate"/>
      </w:r>
      <w:r>
        <w:t>1</w:t>
      </w:r>
      <w:r>
        <w:fldChar w:fldCharType="end"/>
      </w:r>
      <w:r>
        <w:t>)</w:t>
      </w:r>
    </w:p>
    <w:p w14:paraId="1346627E">
      <w:pPr>
        <w:pStyle w:val="214"/>
        <w:ind w:left="0"/>
      </w:pPr>
      <w:r>
        <w:rPr>
          <w:rFonts w:hint="eastAsia"/>
        </w:rPr>
        <w:t>制作大型马歇尔试件，测定试件空隙率等体积指标，根据期望空隙率确定混合料的矿料级配。</w:t>
      </w:r>
    </w:p>
    <w:p w14:paraId="0E3D4941">
      <w:pPr>
        <w:pStyle w:val="80"/>
        <w:spacing w:before="156" w:after="156"/>
      </w:pPr>
      <w:bookmarkStart w:id="250" w:name="_Toc198815917"/>
      <w:bookmarkStart w:id="251" w:name="_Toc198817000"/>
      <w:bookmarkStart w:id="252" w:name="_Toc198802245"/>
      <w:bookmarkStart w:id="253" w:name="_Toc195013030"/>
      <w:bookmarkStart w:id="254" w:name="_Toc199251496"/>
      <w:r>
        <w:rPr>
          <w:rFonts w:hint="eastAsia"/>
        </w:rPr>
        <w:t>确定最佳沥青用量设计</w:t>
      </w:r>
      <w:bookmarkEnd w:id="250"/>
      <w:bookmarkEnd w:id="251"/>
      <w:bookmarkEnd w:id="252"/>
      <w:bookmarkEnd w:id="253"/>
      <w:bookmarkEnd w:id="254"/>
    </w:p>
    <w:p w14:paraId="602FEF0B">
      <w:pPr>
        <w:pStyle w:val="214"/>
        <w:spacing w:line="240" w:lineRule="auto"/>
        <w:ind w:left="0"/>
      </w:pPr>
      <w:r>
        <w:rPr>
          <w:rFonts w:hint="eastAsia"/>
        </w:rPr>
        <w:t>根据确定的矿料级配及初选沥青用量，以0.3％～0.5％为间隔，调整3个不同的沥青用量拌合沥青混合料，分别进行大型马歇尔试验、谢伦堡析漏试验、肯塔堡飞散试验。</w:t>
      </w:r>
    </w:p>
    <w:p w14:paraId="29F26E30">
      <w:pPr>
        <w:pStyle w:val="214"/>
        <w:spacing w:line="240" w:lineRule="auto"/>
        <w:ind w:left="0"/>
      </w:pPr>
      <w:r>
        <w:rPr>
          <w:rFonts w:hint="eastAsia"/>
        </w:rPr>
        <w:t>首先根据谢伦堡析漏试验与肯塔堡飞散试验确定混合料的最大与最小沥青用量；然后通过空隙要求确定沥青用量的范围。以沥青膜厚度要求验证最小沥青用量，最终得到的最佳沥青用量范围区间，宜选择高的沥青用量作为最佳沥青用量。</w:t>
      </w:r>
    </w:p>
    <w:p w14:paraId="5479DE36">
      <w:pPr>
        <w:pStyle w:val="181"/>
      </w:pPr>
      <w:r>
        <w:rPr>
          <w:rFonts w:hint="eastAsia"/>
        </w:rPr>
        <w:t>析漏试验和飞散试验是确定透水性沥青混合料最佳沥青用量的两项必不可少的试验。通过析漏试验确定沥青不产生流淌的最大沥青用量；通过飞散试验可以确定透水性沥青混合料不发生严重飞散的最小沥青用量。</w:t>
      </w:r>
    </w:p>
    <w:p w14:paraId="624E8EFD">
      <w:pPr>
        <w:pStyle w:val="214"/>
        <w:ind w:left="0"/>
      </w:pPr>
      <w:r>
        <w:rPr>
          <w:rFonts w:hint="eastAsia"/>
        </w:rPr>
        <w:t>各项指标应符合5.3的技术要求，如不符合要求，应重新调整进行配合比设计，直至符合要求为止。</w:t>
      </w:r>
    </w:p>
    <w:p w14:paraId="7AD063C9">
      <w:pPr>
        <w:pStyle w:val="80"/>
        <w:spacing w:before="156" w:after="156"/>
      </w:pPr>
      <w:bookmarkStart w:id="255" w:name="_Toc106700271"/>
      <w:bookmarkStart w:id="256" w:name="_Toc198817001"/>
      <w:bookmarkStart w:id="257" w:name="_Toc195013031"/>
      <w:bookmarkStart w:id="258" w:name="_Toc198802246"/>
      <w:bookmarkStart w:id="259" w:name="_Toc220122915"/>
      <w:bookmarkStart w:id="260" w:name="_Toc220122792"/>
      <w:bookmarkStart w:id="261" w:name="_Toc128971901"/>
      <w:bookmarkStart w:id="262" w:name="_Toc99787351"/>
      <w:bookmarkStart w:id="263" w:name="_Toc199251497"/>
      <w:bookmarkStart w:id="264" w:name="_Toc99370835"/>
      <w:bookmarkStart w:id="265" w:name="_Toc198815918"/>
      <w:bookmarkStart w:id="266" w:name="_Toc99447128"/>
      <w:r>
        <w:rPr>
          <w:rFonts w:hint="eastAsia"/>
        </w:rPr>
        <w:t>配合比性能检验</w:t>
      </w:r>
      <w:bookmarkEnd w:id="255"/>
      <w:bookmarkEnd w:id="256"/>
      <w:bookmarkEnd w:id="257"/>
      <w:bookmarkEnd w:id="258"/>
      <w:bookmarkEnd w:id="259"/>
      <w:bookmarkEnd w:id="260"/>
      <w:bookmarkEnd w:id="261"/>
      <w:bookmarkEnd w:id="262"/>
      <w:bookmarkEnd w:id="263"/>
      <w:bookmarkEnd w:id="264"/>
      <w:bookmarkEnd w:id="265"/>
      <w:bookmarkEnd w:id="266"/>
    </w:p>
    <w:p w14:paraId="27911B18">
      <w:pPr>
        <w:pStyle w:val="58"/>
        <w:ind w:firstLine="420"/>
      </w:pPr>
      <w:r>
        <w:rPr>
          <w:rFonts w:hint="eastAsia"/>
        </w:rPr>
        <w:t>在配合比设计的基础上按本文件要求进行各项性能检验，不符合要求时应更换材料或重新进行配合比设计。</w:t>
      </w:r>
    </w:p>
    <w:p w14:paraId="04C931FA">
      <w:pPr>
        <w:pStyle w:val="80"/>
        <w:spacing w:before="156" w:after="156"/>
      </w:pPr>
      <w:bookmarkStart w:id="267" w:name="_Toc195013032"/>
      <w:bookmarkStart w:id="268" w:name="_Toc199251498"/>
      <w:bookmarkStart w:id="269" w:name="_Toc198802247"/>
      <w:bookmarkStart w:id="270" w:name="_Toc198817002"/>
      <w:bookmarkStart w:id="271" w:name="_Toc198815919"/>
      <w:r>
        <w:rPr>
          <w:rFonts w:hint="eastAsia"/>
        </w:rPr>
        <w:t>配合比设计报告</w:t>
      </w:r>
      <w:bookmarkEnd w:id="267"/>
      <w:bookmarkEnd w:id="268"/>
      <w:bookmarkEnd w:id="269"/>
      <w:bookmarkEnd w:id="270"/>
      <w:bookmarkEnd w:id="271"/>
    </w:p>
    <w:p w14:paraId="358EF786">
      <w:pPr>
        <w:pStyle w:val="58"/>
        <w:ind w:firstLine="420"/>
      </w:pPr>
      <w:r>
        <w:rPr>
          <w:rFonts w:hint="eastAsia"/>
        </w:rPr>
        <w:t>配合比设计报告应包括材料品种选择与原材料质量试验结果、初选矿料级配设计、沥青胶结料用量设计及各项体积指标、配合比性能检验结果等，试验报告的矿料级配曲线应按规定的方法绘制，同时应附明各试验方法、制件方法、温度等试验条件。</w:t>
      </w:r>
      <w:bookmarkEnd w:id="227"/>
      <w:bookmarkStart w:id="272" w:name="BookMark8"/>
    </w:p>
    <w:p w14:paraId="48BA8FE5">
      <w:pPr>
        <w:pStyle w:val="58"/>
        <w:ind w:firstLine="0" w:firstLineChars="0"/>
        <w:jc w:val="center"/>
      </w:pPr>
      <w:r>
        <w:rPr>
          <w:rFonts w:hint="eastAsia"/>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8" cstate="print"/>
                    <a:stretch>
                      <a:fillRect/>
                    </a:stretch>
                  </pic:blipFill>
                  <pic:spPr>
                    <a:xfrm>
                      <a:off x="0" y="0"/>
                      <a:ext cx="1485900" cy="317500"/>
                    </a:xfrm>
                    <a:prstGeom prst="rect">
                      <a:avLst/>
                    </a:prstGeom>
                  </pic:spPr>
                </pic:pic>
              </a:graphicData>
            </a:graphic>
          </wp:inline>
        </w:drawing>
      </w:r>
      <w:bookmarkEnd w:id="272"/>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F09F4">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74F8C">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25DF">
    <w:pPr>
      <w:pStyle w:val="5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8982">
    <w:pPr>
      <w:pStyle w:val="54"/>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F96BF">
    <w:pPr>
      <w:pStyle w:val="19"/>
      <w:wordWrap w:val="0"/>
      <w:jc w:val="right"/>
      <w:rPr>
        <w:rFonts w:ascii="黑体" w:hAnsi="黑体" w:eastAsia="黑体"/>
        <w:sz w:val="21"/>
        <w:szCs w:val="21"/>
      </w:rPr>
    </w:pPr>
    <w:r>
      <w:rPr>
        <w:rFonts w:ascii="黑体" w:hAnsi="黑体" w:eastAsia="黑体"/>
        <w:sz w:val="21"/>
        <w:szCs w:val="21"/>
      </w:rPr>
      <w:t>DB37/T 1161</w:t>
    </w:r>
    <w:r>
      <w:rPr>
        <w:rFonts w:hint="eastAsia" w:ascii="黑体" w:hAnsi="黑体" w:eastAsia="黑体"/>
        <w:sz w:val="21"/>
        <w:szCs w:val="21"/>
      </w:rPr>
      <w:t>—2</w:t>
    </w:r>
    <w:r>
      <w:rPr>
        <w:rFonts w:ascii="黑体" w:hAnsi="黑体" w:eastAsia="黑体"/>
        <w:sz w:val="21"/>
        <w:szCs w:val="21"/>
      </w:rPr>
      <w:t>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3BA96">
    <w:pPr>
      <w:pStyle w:val="19"/>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A8F7113"/>
    <w:multiLevelType w:val="multilevel"/>
    <w:tmpl w:val="2A8F7113"/>
    <w:lvl w:ilvl="0" w:tentative="0">
      <w:start w:val="1"/>
      <w:numFmt w:val="upperLetter"/>
      <w:pStyle w:val="236"/>
      <w:suff w:val="space"/>
      <w:lvlText w:val="%1"/>
      <w:lvlJc w:val="left"/>
      <w:pPr>
        <w:ind w:left="623" w:hanging="425"/>
      </w:pPr>
      <w:rPr>
        <w:rFonts w:hint="eastAsia"/>
      </w:rPr>
    </w:lvl>
    <w:lvl w:ilvl="1" w:tentative="0">
      <w:start w:val="1"/>
      <w:numFmt w:val="decimal"/>
      <w:pStyle w:val="23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397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426" w:firstLine="0"/>
      </w:pPr>
      <w:rPr>
        <w:rFonts w:hint="eastAsia" w:ascii="黑体" w:eastAsia="黑体"/>
        <w:b w:val="0"/>
        <w:i w:val="0"/>
        <w:strike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TlhZWQzYmI4MTMyZjc5ZDBiNGFhZjQyMDE4ZTcifQ=="/>
  </w:docVars>
  <w:rsids>
    <w:rsidRoot w:val="00901930"/>
    <w:rsid w:val="0000040A"/>
    <w:rsid w:val="00000A94"/>
    <w:rsid w:val="00001972"/>
    <w:rsid w:val="00001D9A"/>
    <w:rsid w:val="00007B3A"/>
    <w:rsid w:val="0001077B"/>
    <w:rsid w:val="000107E0"/>
    <w:rsid w:val="00011FDE"/>
    <w:rsid w:val="00012FFD"/>
    <w:rsid w:val="00014162"/>
    <w:rsid w:val="00014340"/>
    <w:rsid w:val="00016A9C"/>
    <w:rsid w:val="00022184"/>
    <w:rsid w:val="00022762"/>
    <w:rsid w:val="000238E0"/>
    <w:rsid w:val="00023DA1"/>
    <w:rsid w:val="000249DB"/>
    <w:rsid w:val="0002595E"/>
    <w:rsid w:val="00026578"/>
    <w:rsid w:val="000303C3"/>
    <w:rsid w:val="000317AA"/>
    <w:rsid w:val="000331D3"/>
    <w:rsid w:val="00033C0D"/>
    <w:rsid w:val="000346A5"/>
    <w:rsid w:val="000359C3"/>
    <w:rsid w:val="00035A7D"/>
    <w:rsid w:val="000365B7"/>
    <w:rsid w:val="000365ED"/>
    <w:rsid w:val="000366FA"/>
    <w:rsid w:val="000409E6"/>
    <w:rsid w:val="00040C7A"/>
    <w:rsid w:val="0004249A"/>
    <w:rsid w:val="00043282"/>
    <w:rsid w:val="00044286"/>
    <w:rsid w:val="00047F28"/>
    <w:rsid w:val="000503AA"/>
    <w:rsid w:val="000506A1"/>
    <w:rsid w:val="000510C8"/>
    <w:rsid w:val="000515DD"/>
    <w:rsid w:val="0005265A"/>
    <w:rsid w:val="000539DD"/>
    <w:rsid w:val="00053BD3"/>
    <w:rsid w:val="000556ED"/>
    <w:rsid w:val="00055FE2"/>
    <w:rsid w:val="0005616F"/>
    <w:rsid w:val="00060C2E"/>
    <w:rsid w:val="00061033"/>
    <w:rsid w:val="000619E9"/>
    <w:rsid w:val="000622D4"/>
    <w:rsid w:val="0006357D"/>
    <w:rsid w:val="00065AB3"/>
    <w:rsid w:val="00067F1E"/>
    <w:rsid w:val="00071CC0"/>
    <w:rsid w:val="00073C8C"/>
    <w:rsid w:val="00077B64"/>
    <w:rsid w:val="00080649"/>
    <w:rsid w:val="00080A1C"/>
    <w:rsid w:val="00082317"/>
    <w:rsid w:val="0008353F"/>
    <w:rsid w:val="000836EF"/>
    <w:rsid w:val="00083D2C"/>
    <w:rsid w:val="000849FB"/>
    <w:rsid w:val="00084C24"/>
    <w:rsid w:val="000859CC"/>
    <w:rsid w:val="00086AA1"/>
    <w:rsid w:val="00087A77"/>
    <w:rsid w:val="00090CA6"/>
    <w:rsid w:val="00092B8A"/>
    <w:rsid w:val="00092FB0"/>
    <w:rsid w:val="000934C5"/>
    <w:rsid w:val="00093D25"/>
    <w:rsid w:val="00093DAB"/>
    <w:rsid w:val="00094D73"/>
    <w:rsid w:val="0009534E"/>
    <w:rsid w:val="0009539F"/>
    <w:rsid w:val="00095A0A"/>
    <w:rsid w:val="000963B2"/>
    <w:rsid w:val="00096D63"/>
    <w:rsid w:val="000A0B60"/>
    <w:rsid w:val="000A0EB8"/>
    <w:rsid w:val="000A19FC"/>
    <w:rsid w:val="000A296B"/>
    <w:rsid w:val="000A7311"/>
    <w:rsid w:val="000B060F"/>
    <w:rsid w:val="000B1592"/>
    <w:rsid w:val="000B1FF2"/>
    <w:rsid w:val="000B2A6E"/>
    <w:rsid w:val="000B3CDA"/>
    <w:rsid w:val="000B6A0B"/>
    <w:rsid w:val="000C0F6C"/>
    <w:rsid w:val="000C11DB"/>
    <w:rsid w:val="000C1492"/>
    <w:rsid w:val="000C1EBC"/>
    <w:rsid w:val="000C2990"/>
    <w:rsid w:val="000C2FBD"/>
    <w:rsid w:val="000C4B41"/>
    <w:rsid w:val="000C57D6"/>
    <w:rsid w:val="000C6362"/>
    <w:rsid w:val="000C7666"/>
    <w:rsid w:val="000D0A9C"/>
    <w:rsid w:val="000D1795"/>
    <w:rsid w:val="000D329A"/>
    <w:rsid w:val="000D4B9C"/>
    <w:rsid w:val="000D4EB6"/>
    <w:rsid w:val="000D6C55"/>
    <w:rsid w:val="000D753B"/>
    <w:rsid w:val="000E4C9E"/>
    <w:rsid w:val="000E6FD7"/>
    <w:rsid w:val="000F06E1"/>
    <w:rsid w:val="000F0E3C"/>
    <w:rsid w:val="000F19D5"/>
    <w:rsid w:val="000F41B4"/>
    <w:rsid w:val="000F4AEA"/>
    <w:rsid w:val="000F633F"/>
    <w:rsid w:val="000F67E9"/>
    <w:rsid w:val="000F6951"/>
    <w:rsid w:val="000F71BC"/>
    <w:rsid w:val="0010002D"/>
    <w:rsid w:val="00103500"/>
    <w:rsid w:val="00104926"/>
    <w:rsid w:val="00113B1E"/>
    <w:rsid w:val="0011711C"/>
    <w:rsid w:val="0012059C"/>
    <w:rsid w:val="001209F0"/>
    <w:rsid w:val="00122B98"/>
    <w:rsid w:val="00124E4F"/>
    <w:rsid w:val="00124EDB"/>
    <w:rsid w:val="001260B7"/>
    <w:rsid w:val="001265CB"/>
    <w:rsid w:val="00126D78"/>
    <w:rsid w:val="001321C6"/>
    <w:rsid w:val="001325C4"/>
    <w:rsid w:val="00133010"/>
    <w:rsid w:val="001338EE"/>
    <w:rsid w:val="00133AAE"/>
    <w:rsid w:val="00134AB7"/>
    <w:rsid w:val="00135323"/>
    <w:rsid w:val="001356C4"/>
    <w:rsid w:val="001365C8"/>
    <w:rsid w:val="00141114"/>
    <w:rsid w:val="00141972"/>
    <w:rsid w:val="00142969"/>
    <w:rsid w:val="001446C2"/>
    <w:rsid w:val="001457E7"/>
    <w:rsid w:val="00145D9D"/>
    <w:rsid w:val="00146388"/>
    <w:rsid w:val="00147AE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11F"/>
    <w:rsid w:val="0017543F"/>
    <w:rsid w:val="00176DFD"/>
    <w:rsid w:val="00182874"/>
    <w:rsid w:val="001852C9"/>
    <w:rsid w:val="00187E17"/>
    <w:rsid w:val="00190087"/>
    <w:rsid w:val="00190546"/>
    <w:rsid w:val="001913C4"/>
    <w:rsid w:val="001917E2"/>
    <w:rsid w:val="0019348F"/>
    <w:rsid w:val="00193A07"/>
    <w:rsid w:val="00194C95"/>
    <w:rsid w:val="00195C34"/>
    <w:rsid w:val="00196EF5"/>
    <w:rsid w:val="001A1A53"/>
    <w:rsid w:val="001A234A"/>
    <w:rsid w:val="001A278B"/>
    <w:rsid w:val="001A4CF3"/>
    <w:rsid w:val="001B06E8"/>
    <w:rsid w:val="001B0FA2"/>
    <w:rsid w:val="001B71D0"/>
    <w:rsid w:val="001B71EE"/>
    <w:rsid w:val="001C04A8"/>
    <w:rsid w:val="001C1980"/>
    <w:rsid w:val="001C2059"/>
    <w:rsid w:val="001C2C03"/>
    <w:rsid w:val="001C42F7"/>
    <w:rsid w:val="001C49E5"/>
    <w:rsid w:val="001C680C"/>
    <w:rsid w:val="001C737C"/>
    <w:rsid w:val="001C7C09"/>
    <w:rsid w:val="001C7FEA"/>
    <w:rsid w:val="001D0499"/>
    <w:rsid w:val="001D0BBE"/>
    <w:rsid w:val="001D0ED4"/>
    <w:rsid w:val="001D212F"/>
    <w:rsid w:val="001D29D7"/>
    <w:rsid w:val="001D2DE7"/>
    <w:rsid w:val="001D411C"/>
    <w:rsid w:val="001E1B6A"/>
    <w:rsid w:val="001E2484"/>
    <w:rsid w:val="001E3CC4"/>
    <w:rsid w:val="001E4882"/>
    <w:rsid w:val="001E6665"/>
    <w:rsid w:val="001E73AB"/>
    <w:rsid w:val="001F092D"/>
    <w:rsid w:val="001F143A"/>
    <w:rsid w:val="001F1605"/>
    <w:rsid w:val="001F2508"/>
    <w:rsid w:val="001F2EAD"/>
    <w:rsid w:val="001F4816"/>
    <w:rsid w:val="001F4EE9"/>
    <w:rsid w:val="001F54AD"/>
    <w:rsid w:val="001F5C34"/>
    <w:rsid w:val="001F69B4"/>
    <w:rsid w:val="001F77C7"/>
    <w:rsid w:val="00200183"/>
    <w:rsid w:val="00200333"/>
    <w:rsid w:val="0020107D"/>
    <w:rsid w:val="00202AA4"/>
    <w:rsid w:val="00202E42"/>
    <w:rsid w:val="002031F7"/>
    <w:rsid w:val="00203A84"/>
    <w:rsid w:val="002040E6"/>
    <w:rsid w:val="002042BF"/>
    <w:rsid w:val="0020527B"/>
    <w:rsid w:val="00205CC6"/>
    <w:rsid w:val="00205F2C"/>
    <w:rsid w:val="00210B15"/>
    <w:rsid w:val="00213BD1"/>
    <w:rsid w:val="002142EA"/>
    <w:rsid w:val="002174A1"/>
    <w:rsid w:val="00217C2C"/>
    <w:rsid w:val="002204BB"/>
    <w:rsid w:val="00221B79"/>
    <w:rsid w:val="00221C6B"/>
    <w:rsid w:val="002253A1"/>
    <w:rsid w:val="00225CF8"/>
    <w:rsid w:val="0022794E"/>
    <w:rsid w:val="00233D64"/>
    <w:rsid w:val="0023482A"/>
    <w:rsid w:val="002359CB"/>
    <w:rsid w:val="00236D0F"/>
    <w:rsid w:val="00243540"/>
    <w:rsid w:val="00243BC7"/>
    <w:rsid w:val="0024497B"/>
    <w:rsid w:val="0024515B"/>
    <w:rsid w:val="00246021"/>
    <w:rsid w:val="0024666E"/>
    <w:rsid w:val="00247F52"/>
    <w:rsid w:val="00250B25"/>
    <w:rsid w:val="00250BBE"/>
    <w:rsid w:val="00250F26"/>
    <w:rsid w:val="002515C2"/>
    <w:rsid w:val="0025194F"/>
    <w:rsid w:val="002579D2"/>
    <w:rsid w:val="0026148A"/>
    <w:rsid w:val="0026174A"/>
    <w:rsid w:val="00262696"/>
    <w:rsid w:val="00263D25"/>
    <w:rsid w:val="002643C3"/>
    <w:rsid w:val="00264A0C"/>
    <w:rsid w:val="00266EEB"/>
    <w:rsid w:val="00267EF4"/>
    <w:rsid w:val="00270CB8"/>
    <w:rsid w:val="00272B08"/>
    <w:rsid w:val="002775F4"/>
    <w:rsid w:val="00277ADB"/>
    <w:rsid w:val="00281BB8"/>
    <w:rsid w:val="00281E9E"/>
    <w:rsid w:val="00282405"/>
    <w:rsid w:val="00284EDB"/>
    <w:rsid w:val="00285170"/>
    <w:rsid w:val="00285361"/>
    <w:rsid w:val="0028720C"/>
    <w:rsid w:val="00287B74"/>
    <w:rsid w:val="00292D60"/>
    <w:rsid w:val="00293B30"/>
    <w:rsid w:val="002940DA"/>
    <w:rsid w:val="00294D34"/>
    <w:rsid w:val="00294E3B"/>
    <w:rsid w:val="00296193"/>
    <w:rsid w:val="00296C66"/>
    <w:rsid w:val="00296EBE"/>
    <w:rsid w:val="002974E3"/>
    <w:rsid w:val="002A084B"/>
    <w:rsid w:val="002A1086"/>
    <w:rsid w:val="002A1260"/>
    <w:rsid w:val="002A1589"/>
    <w:rsid w:val="002A1608"/>
    <w:rsid w:val="002A25DC"/>
    <w:rsid w:val="002A3AAB"/>
    <w:rsid w:val="002A4CEA"/>
    <w:rsid w:val="002A564B"/>
    <w:rsid w:val="002A5977"/>
    <w:rsid w:val="002A5A13"/>
    <w:rsid w:val="002A5CAF"/>
    <w:rsid w:val="002A5CEE"/>
    <w:rsid w:val="002A757F"/>
    <w:rsid w:val="002A7F44"/>
    <w:rsid w:val="002B0C40"/>
    <w:rsid w:val="002B1463"/>
    <w:rsid w:val="002B1966"/>
    <w:rsid w:val="002B4508"/>
    <w:rsid w:val="002B4A01"/>
    <w:rsid w:val="002B5779"/>
    <w:rsid w:val="002B7332"/>
    <w:rsid w:val="002B7EA1"/>
    <w:rsid w:val="002B7F51"/>
    <w:rsid w:val="002C09E7"/>
    <w:rsid w:val="002C1E06"/>
    <w:rsid w:val="002C1E1C"/>
    <w:rsid w:val="002C3F07"/>
    <w:rsid w:val="002C5278"/>
    <w:rsid w:val="002C7EBB"/>
    <w:rsid w:val="002D06C1"/>
    <w:rsid w:val="002D27D4"/>
    <w:rsid w:val="002D42B5"/>
    <w:rsid w:val="002D4DE2"/>
    <w:rsid w:val="002D4F1A"/>
    <w:rsid w:val="002D6EC6"/>
    <w:rsid w:val="002D79AC"/>
    <w:rsid w:val="002E039D"/>
    <w:rsid w:val="002E2097"/>
    <w:rsid w:val="002E4A86"/>
    <w:rsid w:val="002E4D5A"/>
    <w:rsid w:val="002E6326"/>
    <w:rsid w:val="002F30E0"/>
    <w:rsid w:val="002F35E4"/>
    <w:rsid w:val="002F3730"/>
    <w:rsid w:val="002F38E1"/>
    <w:rsid w:val="002F7AF6"/>
    <w:rsid w:val="003009EC"/>
    <w:rsid w:val="00300E63"/>
    <w:rsid w:val="00301E75"/>
    <w:rsid w:val="00302F5F"/>
    <w:rsid w:val="003030A1"/>
    <w:rsid w:val="0030441D"/>
    <w:rsid w:val="00306063"/>
    <w:rsid w:val="00313838"/>
    <w:rsid w:val="00313B85"/>
    <w:rsid w:val="00314836"/>
    <w:rsid w:val="00317988"/>
    <w:rsid w:val="003204B9"/>
    <w:rsid w:val="003221B4"/>
    <w:rsid w:val="0032258D"/>
    <w:rsid w:val="00322DCD"/>
    <w:rsid w:val="00322E62"/>
    <w:rsid w:val="00324D13"/>
    <w:rsid w:val="00324D2A"/>
    <w:rsid w:val="00324EDD"/>
    <w:rsid w:val="00326CEC"/>
    <w:rsid w:val="003331E4"/>
    <w:rsid w:val="00334D10"/>
    <w:rsid w:val="0033528B"/>
    <w:rsid w:val="00336C64"/>
    <w:rsid w:val="00337162"/>
    <w:rsid w:val="0034194F"/>
    <w:rsid w:val="003420BB"/>
    <w:rsid w:val="00342547"/>
    <w:rsid w:val="00344605"/>
    <w:rsid w:val="003471AA"/>
    <w:rsid w:val="003474AA"/>
    <w:rsid w:val="00350D1D"/>
    <w:rsid w:val="00352C83"/>
    <w:rsid w:val="00354232"/>
    <w:rsid w:val="00355AC7"/>
    <w:rsid w:val="0035656C"/>
    <w:rsid w:val="0035768A"/>
    <w:rsid w:val="003615D2"/>
    <w:rsid w:val="00361C90"/>
    <w:rsid w:val="00362C41"/>
    <w:rsid w:val="00363B59"/>
    <w:rsid w:val="0036429C"/>
    <w:rsid w:val="003646D0"/>
    <w:rsid w:val="00364A53"/>
    <w:rsid w:val="003654CB"/>
    <w:rsid w:val="00365AA9"/>
    <w:rsid w:val="00365B17"/>
    <w:rsid w:val="00365F86"/>
    <w:rsid w:val="00365F87"/>
    <w:rsid w:val="00366E89"/>
    <w:rsid w:val="003705F4"/>
    <w:rsid w:val="00370D58"/>
    <w:rsid w:val="00371316"/>
    <w:rsid w:val="00376713"/>
    <w:rsid w:val="00376CC4"/>
    <w:rsid w:val="00377AEC"/>
    <w:rsid w:val="00381815"/>
    <w:rsid w:val="003819AF"/>
    <w:rsid w:val="003820E9"/>
    <w:rsid w:val="00382DE7"/>
    <w:rsid w:val="00384FFC"/>
    <w:rsid w:val="003872FC"/>
    <w:rsid w:val="00387ADC"/>
    <w:rsid w:val="00390020"/>
    <w:rsid w:val="003901D0"/>
    <w:rsid w:val="003903D6"/>
    <w:rsid w:val="00390B42"/>
    <w:rsid w:val="00390EE6"/>
    <w:rsid w:val="0039118F"/>
    <w:rsid w:val="00392AD7"/>
    <w:rsid w:val="003938D9"/>
    <w:rsid w:val="00394376"/>
    <w:rsid w:val="003943FF"/>
    <w:rsid w:val="00395700"/>
    <w:rsid w:val="003974EB"/>
    <w:rsid w:val="00397CC5"/>
    <w:rsid w:val="003A1582"/>
    <w:rsid w:val="003A176D"/>
    <w:rsid w:val="003A4077"/>
    <w:rsid w:val="003A493A"/>
    <w:rsid w:val="003A79F5"/>
    <w:rsid w:val="003B09AD"/>
    <w:rsid w:val="003B1F18"/>
    <w:rsid w:val="003B2095"/>
    <w:rsid w:val="003B3852"/>
    <w:rsid w:val="003B59AA"/>
    <w:rsid w:val="003B5BF0"/>
    <w:rsid w:val="003B60BF"/>
    <w:rsid w:val="003B6BE3"/>
    <w:rsid w:val="003B752F"/>
    <w:rsid w:val="003C010C"/>
    <w:rsid w:val="003C0A6C"/>
    <w:rsid w:val="003C14F8"/>
    <w:rsid w:val="003C5A43"/>
    <w:rsid w:val="003D0519"/>
    <w:rsid w:val="003D0FF6"/>
    <w:rsid w:val="003D1B37"/>
    <w:rsid w:val="003D262C"/>
    <w:rsid w:val="003D2698"/>
    <w:rsid w:val="003D6D61"/>
    <w:rsid w:val="003E091D"/>
    <w:rsid w:val="003E13DD"/>
    <w:rsid w:val="003E1C53"/>
    <w:rsid w:val="003E2A69"/>
    <w:rsid w:val="003E2D49"/>
    <w:rsid w:val="003E2FD4"/>
    <w:rsid w:val="003E49F6"/>
    <w:rsid w:val="003E660F"/>
    <w:rsid w:val="003E6AD7"/>
    <w:rsid w:val="003F0841"/>
    <w:rsid w:val="003F23D3"/>
    <w:rsid w:val="003F3F08"/>
    <w:rsid w:val="003F441F"/>
    <w:rsid w:val="003F49F1"/>
    <w:rsid w:val="003F6272"/>
    <w:rsid w:val="00400A47"/>
    <w:rsid w:val="00400E72"/>
    <w:rsid w:val="00401387"/>
    <w:rsid w:val="00401400"/>
    <w:rsid w:val="00404869"/>
    <w:rsid w:val="00405884"/>
    <w:rsid w:val="00407C08"/>
    <w:rsid w:val="00407D39"/>
    <w:rsid w:val="0041477A"/>
    <w:rsid w:val="004167A3"/>
    <w:rsid w:val="00417538"/>
    <w:rsid w:val="0042118D"/>
    <w:rsid w:val="0042667F"/>
    <w:rsid w:val="004268A9"/>
    <w:rsid w:val="00432DAA"/>
    <w:rsid w:val="00433C08"/>
    <w:rsid w:val="00434305"/>
    <w:rsid w:val="0043450B"/>
    <w:rsid w:val="00435DF7"/>
    <w:rsid w:val="0044083F"/>
    <w:rsid w:val="00441AE7"/>
    <w:rsid w:val="004431FE"/>
    <w:rsid w:val="00445574"/>
    <w:rsid w:val="00445FAD"/>
    <w:rsid w:val="004467FB"/>
    <w:rsid w:val="00452D6B"/>
    <w:rsid w:val="00453868"/>
    <w:rsid w:val="00454484"/>
    <w:rsid w:val="0045517B"/>
    <w:rsid w:val="00455A8F"/>
    <w:rsid w:val="00463B77"/>
    <w:rsid w:val="00463C7B"/>
    <w:rsid w:val="004644A6"/>
    <w:rsid w:val="004659BD"/>
    <w:rsid w:val="00466778"/>
    <w:rsid w:val="00466A5D"/>
    <w:rsid w:val="00470775"/>
    <w:rsid w:val="00471A2C"/>
    <w:rsid w:val="00473DD7"/>
    <w:rsid w:val="004746B1"/>
    <w:rsid w:val="0047583F"/>
    <w:rsid w:val="00475DE8"/>
    <w:rsid w:val="00481C44"/>
    <w:rsid w:val="004845CA"/>
    <w:rsid w:val="00484936"/>
    <w:rsid w:val="00485C89"/>
    <w:rsid w:val="00486BE3"/>
    <w:rsid w:val="004905E4"/>
    <w:rsid w:val="00490A89"/>
    <w:rsid w:val="00490AB4"/>
    <w:rsid w:val="00490AFF"/>
    <w:rsid w:val="00490B77"/>
    <w:rsid w:val="0049214B"/>
    <w:rsid w:val="004928E0"/>
    <w:rsid w:val="00492F02"/>
    <w:rsid w:val="0049328B"/>
    <w:rsid w:val="004939AE"/>
    <w:rsid w:val="00493DAD"/>
    <w:rsid w:val="00496039"/>
    <w:rsid w:val="00497C55"/>
    <w:rsid w:val="00497CD0"/>
    <w:rsid w:val="004A12DF"/>
    <w:rsid w:val="004A17E6"/>
    <w:rsid w:val="004A1BA8"/>
    <w:rsid w:val="004A4B57"/>
    <w:rsid w:val="004A63FA"/>
    <w:rsid w:val="004A70D3"/>
    <w:rsid w:val="004B0272"/>
    <w:rsid w:val="004B1AF2"/>
    <w:rsid w:val="004B1B19"/>
    <w:rsid w:val="004B2701"/>
    <w:rsid w:val="004B2E1B"/>
    <w:rsid w:val="004B38DD"/>
    <w:rsid w:val="004B3AA8"/>
    <w:rsid w:val="004B3E93"/>
    <w:rsid w:val="004C0ABD"/>
    <w:rsid w:val="004C1FBC"/>
    <w:rsid w:val="004C3F1D"/>
    <w:rsid w:val="004C458D"/>
    <w:rsid w:val="004C7556"/>
    <w:rsid w:val="004C7E8B"/>
    <w:rsid w:val="004C7E9D"/>
    <w:rsid w:val="004C7F67"/>
    <w:rsid w:val="004D076D"/>
    <w:rsid w:val="004D0EF1"/>
    <w:rsid w:val="004D2253"/>
    <w:rsid w:val="004D24B8"/>
    <w:rsid w:val="004D3D95"/>
    <w:rsid w:val="004D4406"/>
    <w:rsid w:val="004D7C42"/>
    <w:rsid w:val="004E0465"/>
    <w:rsid w:val="004E09E6"/>
    <w:rsid w:val="004E127B"/>
    <w:rsid w:val="004E1C0A"/>
    <w:rsid w:val="004E2B06"/>
    <w:rsid w:val="004E30C5"/>
    <w:rsid w:val="004E4AA5"/>
    <w:rsid w:val="004E4AEE"/>
    <w:rsid w:val="004E59E3"/>
    <w:rsid w:val="004E63D7"/>
    <w:rsid w:val="004E67C0"/>
    <w:rsid w:val="004E6CEA"/>
    <w:rsid w:val="004E7208"/>
    <w:rsid w:val="004F1164"/>
    <w:rsid w:val="004F2FA6"/>
    <w:rsid w:val="004F391A"/>
    <w:rsid w:val="004F3CFB"/>
    <w:rsid w:val="004F3DE7"/>
    <w:rsid w:val="004F5D63"/>
    <w:rsid w:val="004F6456"/>
    <w:rsid w:val="004F696E"/>
    <w:rsid w:val="004F6C71"/>
    <w:rsid w:val="004F75A9"/>
    <w:rsid w:val="004F7EB4"/>
    <w:rsid w:val="00500FCC"/>
    <w:rsid w:val="00501139"/>
    <w:rsid w:val="0050363E"/>
    <w:rsid w:val="005039BC"/>
    <w:rsid w:val="00503E93"/>
    <w:rsid w:val="005040A9"/>
    <w:rsid w:val="005043BB"/>
    <w:rsid w:val="00504A3D"/>
    <w:rsid w:val="00505767"/>
    <w:rsid w:val="005059D8"/>
    <w:rsid w:val="005073F0"/>
    <w:rsid w:val="00510A7B"/>
    <w:rsid w:val="00511971"/>
    <w:rsid w:val="00512F6E"/>
    <w:rsid w:val="00513038"/>
    <w:rsid w:val="00514174"/>
    <w:rsid w:val="0051471E"/>
    <w:rsid w:val="00514FD0"/>
    <w:rsid w:val="00516088"/>
    <w:rsid w:val="00516286"/>
    <w:rsid w:val="00516B0B"/>
    <w:rsid w:val="005220EC"/>
    <w:rsid w:val="00523F95"/>
    <w:rsid w:val="00524568"/>
    <w:rsid w:val="00524D65"/>
    <w:rsid w:val="0052539B"/>
    <w:rsid w:val="00525B16"/>
    <w:rsid w:val="00530D80"/>
    <w:rsid w:val="00533D04"/>
    <w:rsid w:val="00534804"/>
    <w:rsid w:val="00534BDF"/>
    <w:rsid w:val="005354EA"/>
    <w:rsid w:val="0053585F"/>
    <w:rsid w:val="00535EC4"/>
    <w:rsid w:val="00535ED9"/>
    <w:rsid w:val="0053692B"/>
    <w:rsid w:val="00541853"/>
    <w:rsid w:val="00542AD3"/>
    <w:rsid w:val="00543BDA"/>
    <w:rsid w:val="005441CC"/>
    <w:rsid w:val="005447BC"/>
    <w:rsid w:val="005479DA"/>
    <w:rsid w:val="00547BCC"/>
    <w:rsid w:val="0055013B"/>
    <w:rsid w:val="00551728"/>
    <w:rsid w:val="00551F6F"/>
    <w:rsid w:val="00554600"/>
    <w:rsid w:val="00555044"/>
    <w:rsid w:val="00561475"/>
    <w:rsid w:val="0056487B"/>
    <w:rsid w:val="00564CEC"/>
    <w:rsid w:val="00564FB9"/>
    <w:rsid w:val="00573D9E"/>
    <w:rsid w:val="005801E3"/>
    <w:rsid w:val="00581802"/>
    <w:rsid w:val="005836A8"/>
    <w:rsid w:val="0058409C"/>
    <w:rsid w:val="00584262"/>
    <w:rsid w:val="00585790"/>
    <w:rsid w:val="00586630"/>
    <w:rsid w:val="00587761"/>
    <w:rsid w:val="005878B5"/>
    <w:rsid w:val="00587ADD"/>
    <w:rsid w:val="00590925"/>
    <w:rsid w:val="00590AAA"/>
    <w:rsid w:val="00596160"/>
    <w:rsid w:val="005966E2"/>
    <w:rsid w:val="005969CE"/>
    <w:rsid w:val="00597007"/>
    <w:rsid w:val="005978DC"/>
    <w:rsid w:val="005A0966"/>
    <w:rsid w:val="005A0A9E"/>
    <w:rsid w:val="005A11B7"/>
    <w:rsid w:val="005A260B"/>
    <w:rsid w:val="005A4A1B"/>
    <w:rsid w:val="005A7830"/>
    <w:rsid w:val="005A7FCE"/>
    <w:rsid w:val="005B07E6"/>
    <w:rsid w:val="005B0F3F"/>
    <w:rsid w:val="005B39E3"/>
    <w:rsid w:val="005B3CE1"/>
    <w:rsid w:val="005B4903"/>
    <w:rsid w:val="005B51CE"/>
    <w:rsid w:val="005B5885"/>
    <w:rsid w:val="005B5CD7"/>
    <w:rsid w:val="005B6CF6"/>
    <w:rsid w:val="005B7422"/>
    <w:rsid w:val="005B77C7"/>
    <w:rsid w:val="005C29B8"/>
    <w:rsid w:val="005C5F21"/>
    <w:rsid w:val="005C7156"/>
    <w:rsid w:val="005D0C75"/>
    <w:rsid w:val="005D2919"/>
    <w:rsid w:val="005D4171"/>
    <w:rsid w:val="005D5C37"/>
    <w:rsid w:val="005D6A95"/>
    <w:rsid w:val="005D6B2C"/>
    <w:rsid w:val="005D6D9C"/>
    <w:rsid w:val="005D7701"/>
    <w:rsid w:val="005E1243"/>
    <w:rsid w:val="005E2335"/>
    <w:rsid w:val="005E27A9"/>
    <w:rsid w:val="005E34CA"/>
    <w:rsid w:val="005E3C18"/>
    <w:rsid w:val="005E6812"/>
    <w:rsid w:val="005E7881"/>
    <w:rsid w:val="005E78E0"/>
    <w:rsid w:val="005F0D9C"/>
    <w:rsid w:val="005F284E"/>
    <w:rsid w:val="005F4712"/>
    <w:rsid w:val="005F6BE6"/>
    <w:rsid w:val="006015CE"/>
    <w:rsid w:val="0060308B"/>
    <w:rsid w:val="00604784"/>
    <w:rsid w:val="00606419"/>
    <w:rsid w:val="0060688C"/>
    <w:rsid w:val="00607D29"/>
    <w:rsid w:val="00610DB7"/>
    <w:rsid w:val="00611069"/>
    <w:rsid w:val="00611DAF"/>
    <w:rsid w:val="00612952"/>
    <w:rsid w:val="00614CC1"/>
    <w:rsid w:val="0061526F"/>
    <w:rsid w:val="00615539"/>
    <w:rsid w:val="00615A9D"/>
    <w:rsid w:val="00617387"/>
    <w:rsid w:val="006205D6"/>
    <w:rsid w:val="00620A19"/>
    <w:rsid w:val="0062303D"/>
    <w:rsid w:val="006252D8"/>
    <w:rsid w:val="006259BC"/>
    <w:rsid w:val="0062636B"/>
    <w:rsid w:val="00626866"/>
    <w:rsid w:val="00632182"/>
    <w:rsid w:val="00632AE0"/>
    <w:rsid w:val="00633C17"/>
    <w:rsid w:val="00634D9E"/>
    <w:rsid w:val="00636038"/>
    <w:rsid w:val="00636E3E"/>
    <w:rsid w:val="006379F7"/>
    <w:rsid w:val="00637E4D"/>
    <w:rsid w:val="00640620"/>
    <w:rsid w:val="00641A1F"/>
    <w:rsid w:val="0064295E"/>
    <w:rsid w:val="00642EA7"/>
    <w:rsid w:val="00645904"/>
    <w:rsid w:val="00651ACB"/>
    <w:rsid w:val="00651C47"/>
    <w:rsid w:val="00652AB2"/>
    <w:rsid w:val="00653FED"/>
    <w:rsid w:val="00654EC0"/>
    <w:rsid w:val="0065525B"/>
    <w:rsid w:val="00655D4F"/>
    <w:rsid w:val="00656D29"/>
    <w:rsid w:val="00662586"/>
    <w:rsid w:val="006640E5"/>
    <w:rsid w:val="0066457A"/>
    <w:rsid w:val="006646F1"/>
    <w:rsid w:val="00664929"/>
    <w:rsid w:val="00664F62"/>
    <w:rsid w:val="006655E1"/>
    <w:rsid w:val="00672060"/>
    <w:rsid w:val="006729C4"/>
    <w:rsid w:val="00672AA1"/>
    <w:rsid w:val="00672BFD"/>
    <w:rsid w:val="00674015"/>
    <w:rsid w:val="006747A9"/>
    <w:rsid w:val="006762B2"/>
    <w:rsid w:val="006770F4"/>
    <w:rsid w:val="00677A84"/>
    <w:rsid w:val="00677B61"/>
    <w:rsid w:val="0068026D"/>
    <w:rsid w:val="00680A27"/>
    <w:rsid w:val="006816A4"/>
    <w:rsid w:val="006819B8"/>
    <w:rsid w:val="006840A6"/>
    <w:rsid w:val="006850CD"/>
    <w:rsid w:val="00685AAB"/>
    <w:rsid w:val="00692178"/>
    <w:rsid w:val="00692CAB"/>
    <w:rsid w:val="00696E2F"/>
    <w:rsid w:val="00697350"/>
    <w:rsid w:val="006A07AA"/>
    <w:rsid w:val="006A25E5"/>
    <w:rsid w:val="006A2B46"/>
    <w:rsid w:val="006A336D"/>
    <w:rsid w:val="006A37B9"/>
    <w:rsid w:val="006A535E"/>
    <w:rsid w:val="006B0B00"/>
    <w:rsid w:val="006B2672"/>
    <w:rsid w:val="006B38F7"/>
    <w:rsid w:val="006B54BF"/>
    <w:rsid w:val="006B56FA"/>
    <w:rsid w:val="006B5F44"/>
    <w:rsid w:val="006B5F90"/>
    <w:rsid w:val="006B62E4"/>
    <w:rsid w:val="006C1BBA"/>
    <w:rsid w:val="006C2079"/>
    <w:rsid w:val="006C5A62"/>
    <w:rsid w:val="006C5D68"/>
    <w:rsid w:val="006C6976"/>
    <w:rsid w:val="006C6DD0"/>
    <w:rsid w:val="006D04EA"/>
    <w:rsid w:val="006D16C4"/>
    <w:rsid w:val="006D3E96"/>
    <w:rsid w:val="006D41EF"/>
    <w:rsid w:val="006D4515"/>
    <w:rsid w:val="006D4BB1"/>
    <w:rsid w:val="006D6593"/>
    <w:rsid w:val="006D7FB4"/>
    <w:rsid w:val="006E23EA"/>
    <w:rsid w:val="006E3D52"/>
    <w:rsid w:val="006E3E68"/>
    <w:rsid w:val="006F03A8"/>
    <w:rsid w:val="006F2ACA"/>
    <w:rsid w:val="006F2ADC"/>
    <w:rsid w:val="006F2BFE"/>
    <w:rsid w:val="006F31E9"/>
    <w:rsid w:val="006F4691"/>
    <w:rsid w:val="006F6284"/>
    <w:rsid w:val="006F6DA4"/>
    <w:rsid w:val="006F7390"/>
    <w:rsid w:val="007002C5"/>
    <w:rsid w:val="00704387"/>
    <w:rsid w:val="00707669"/>
    <w:rsid w:val="00711CBA"/>
    <w:rsid w:val="00711FB5"/>
    <w:rsid w:val="00712A01"/>
    <w:rsid w:val="00712AAA"/>
    <w:rsid w:val="00714F58"/>
    <w:rsid w:val="0072052F"/>
    <w:rsid w:val="00722FBF"/>
    <w:rsid w:val="00722FC2"/>
    <w:rsid w:val="00724879"/>
    <w:rsid w:val="00724E1B"/>
    <w:rsid w:val="00725949"/>
    <w:rsid w:val="00726624"/>
    <w:rsid w:val="00727FA2"/>
    <w:rsid w:val="007322D9"/>
    <w:rsid w:val="0073267B"/>
    <w:rsid w:val="00732BC0"/>
    <w:rsid w:val="00736C87"/>
    <w:rsid w:val="0073720F"/>
    <w:rsid w:val="00737796"/>
    <w:rsid w:val="0074165C"/>
    <w:rsid w:val="0074241D"/>
    <w:rsid w:val="00742C35"/>
    <w:rsid w:val="007432CA"/>
    <w:rsid w:val="007439EB"/>
    <w:rsid w:val="00743CB4"/>
    <w:rsid w:val="00743F0A"/>
    <w:rsid w:val="007444E8"/>
    <w:rsid w:val="007453E2"/>
    <w:rsid w:val="0074548E"/>
    <w:rsid w:val="00745773"/>
    <w:rsid w:val="00745EB8"/>
    <w:rsid w:val="00746800"/>
    <w:rsid w:val="007501A8"/>
    <w:rsid w:val="00750D61"/>
    <w:rsid w:val="00750EE1"/>
    <w:rsid w:val="00752B4D"/>
    <w:rsid w:val="00755402"/>
    <w:rsid w:val="00755C63"/>
    <w:rsid w:val="00756B26"/>
    <w:rsid w:val="00756EDF"/>
    <w:rsid w:val="007600E3"/>
    <w:rsid w:val="00760CFD"/>
    <w:rsid w:val="007633B8"/>
    <w:rsid w:val="007633BD"/>
    <w:rsid w:val="007656A9"/>
    <w:rsid w:val="00765C43"/>
    <w:rsid w:val="00765EFB"/>
    <w:rsid w:val="007671CA"/>
    <w:rsid w:val="0076767F"/>
    <w:rsid w:val="00767C61"/>
    <w:rsid w:val="0077008A"/>
    <w:rsid w:val="00773C1F"/>
    <w:rsid w:val="00774DA4"/>
    <w:rsid w:val="00776599"/>
    <w:rsid w:val="0078114B"/>
    <w:rsid w:val="00781DD2"/>
    <w:rsid w:val="0078294F"/>
    <w:rsid w:val="00783ECF"/>
    <w:rsid w:val="0078413A"/>
    <w:rsid w:val="00784C7B"/>
    <w:rsid w:val="00784D3C"/>
    <w:rsid w:val="0078706E"/>
    <w:rsid w:val="007959E8"/>
    <w:rsid w:val="00795E9C"/>
    <w:rsid w:val="007A0521"/>
    <w:rsid w:val="007A2E12"/>
    <w:rsid w:val="007A3475"/>
    <w:rsid w:val="007A3889"/>
    <w:rsid w:val="007A3D5D"/>
    <w:rsid w:val="007A3D70"/>
    <w:rsid w:val="007A41C8"/>
    <w:rsid w:val="007A54CE"/>
    <w:rsid w:val="007A6FD9"/>
    <w:rsid w:val="007A7FFA"/>
    <w:rsid w:val="007B04EB"/>
    <w:rsid w:val="007B0D4F"/>
    <w:rsid w:val="007B5A3D"/>
    <w:rsid w:val="007B5B95"/>
    <w:rsid w:val="007B68EA"/>
    <w:rsid w:val="007B7453"/>
    <w:rsid w:val="007B7ADA"/>
    <w:rsid w:val="007C1E8B"/>
    <w:rsid w:val="007C2473"/>
    <w:rsid w:val="007C2D89"/>
    <w:rsid w:val="007C4593"/>
    <w:rsid w:val="007C5309"/>
    <w:rsid w:val="007C6069"/>
    <w:rsid w:val="007D06C4"/>
    <w:rsid w:val="007D1352"/>
    <w:rsid w:val="007D2508"/>
    <w:rsid w:val="007D346A"/>
    <w:rsid w:val="007D6518"/>
    <w:rsid w:val="007D76BD"/>
    <w:rsid w:val="007E0BF1"/>
    <w:rsid w:val="007E1C92"/>
    <w:rsid w:val="007E7C01"/>
    <w:rsid w:val="007F0ED8"/>
    <w:rsid w:val="007F0F63"/>
    <w:rsid w:val="007F23EC"/>
    <w:rsid w:val="007F3B97"/>
    <w:rsid w:val="007F75CE"/>
    <w:rsid w:val="007F75DE"/>
    <w:rsid w:val="008013A4"/>
    <w:rsid w:val="00801826"/>
    <w:rsid w:val="008022DD"/>
    <w:rsid w:val="008027CE"/>
    <w:rsid w:val="00802F42"/>
    <w:rsid w:val="00803698"/>
    <w:rsid w:val="00803E3A"/>
    <w:rsid w:val="00804383"/>
    <w:rsid w:val="00804BB7"/>
    <w:rsid w:val="00804D41"/>
    <w:rsid w:val="00806819"/>
    <w:rsid w:val="00810257"/>
    <w:rsid w:val="008104F5"/>
    <w:rsid w:val="00811072"/>
    <w:rsid w:val="00811369"/>
    <w:rsid w:val="00811CB5"/>
    <w:rsid w:val="0081244B"/>
    <w:rsid w:val="00813A06"/>
    <w:rsid w:val="00815419"/>
    <w:rsid w:val="008163C8"/>
    <w:rsid w:val="008164A1"/>
    <w:rsid w:val="008169ED"/>
    <w:rsid w:val="00817325"/>
    <w:rsid w:val="00817DA6"/>
    <w:rsid w:val="00820401"/>
    <w:rsid w:val="008209E6"/>
    <w:rsid w:val="00823303"/>
    <w:rsid w:val="008233B2"/>
    <w:rsid w:val="00823A9F"/>
    <w:rsid w:val="00823C85"/>
    <w:rsid w:val="00825138"/>
    <w:rsid w:val="00826943"/>
    <w:rsid w:val="008269DD"/>
    <w:rsid w:val="00830621"/>
    <w:rsid w:val="0083348C"/>
    <w:rsid w:val="008373D3"/>
    <w:rsid w:val="00840617"/>
    <w:rsid w:val="00840F84"/>
    <w:rsid w:val="00841715"/>
    <w:rsid w:val="0084230B"/>
    <w:rsid w:val="00842A47"/>
    <w:rsid w:val="00843C13"/>
    <w:rsid w:val="00844924"/>
    <w:rsid w:val="008454F8"/>
    <w:rsid w:val="00851433"/>
    <w:rsid w:val="0085173A"/>
    <w:rsid w:val="00854543"/>
    <w:rsid w:val="00856316"/>
    <w:rsid w:val="008603CE"/>
    <w:rsid w:val="00861FD2"/>
    <w:rsid w:val="008620FC"/>
    <w:rsid w:val="008627A5"/>
    <w:rsid w:val="0086304A"/>
    <w:rsid w:val="00863E05"/>
    <w:rsid w:val="00865ACA"/>
    <w:rsid w:val="00865D28"/>
    <w:rsid w:val="00865F85"/>
    <w:rsid w:val="0086622D"/>
    <w:rsid w:val="00867C10"/>
    <w:rsid w:val="0087013C"/>
    <w:rsid w:val="00870439"/>
    <w:rsid w:val="00870DA1"/>
    <w:rsid w:val="00872FD6"/>
    <w:rsid w:val="0087536D"/>
    <w:rsid w:val="00883F93"/>
    <w:rsid w:val="00884DB3"/>
    <w:rsid w:val="00885A9D"/>
    <w:rsid w:val="008864F6"/>
    <w:rsid w:val="0089049D"/>
    <w:rsid w:val="00890732"/>
    <w:rsid w:val="00890AA0"/>
    <w:rsid w:val="008928C9"/>
    <w:rsid w:val="008930CB"/>
    <w:rsid w:val="008938DC"/>
    <w:rsid w:val="00893EDD"/>
    <w:rsid w:val="00893FD1"/>
    <w:rsid w:val="00894836"/>
    <w:rsid w:val="00895172"/>
    <w:rsid w:val="00895680"/>
    <w:rsid w:val="00896DFF"/>
    <w:rsid w:val="0089762C"/>
    <w:rsid w:val="00897BA2"/>
    <w:rsid w:val="008A1893"/>
    <w:rsid w:val="008A3215"/>
    <w:rsid w:val="008A4A23"/>
    <w:rsid w:val="008A57E6"/>
    <w:rsid w:val="008A6F81"/>
    <w:rsid w:val="008A769A"/>
    <w:rsid w:val="008B0C9C"/>
    <w:rsid w:val="008B166D"/>
    <w:rsid w:val="008B17F4"/>
    <w:rsid w:val="008B3615"/>
    <w:rsid w:val="008B43AF"/>
    <w:rsid w:val="008B4AC4"/>
    <w:rsid w:val="008B50C8"/>
    <w:rsid w:val="008B5281"/>
    <w:rsid w:val="008B55DA"/>
    <w:rsid w:val="008B7257"/>
    <w:rsid w:val="008B7E05"/>
    <w:rsid w:val="008C1797"/>
    <w:rsid w:val="008C219C"/>
    <w:rsid w:val="008C3CF9"/>
    <w:rsid w:val="008C475E"/>
    <w:rsid w:val="008C619A"/>
    <w:rsid w:val="008C6A18"/>
    <w:rsid w:val="008C7E24"/>
    <w:rsid w:val="008D0CE8"/>
    <w:rsid w:val="008D2D1D"/>
    <w:rsid w:val="008D3680"/>
    <w:rsid w:val="008D453D"/>
    <w:rsid w:val="008D53AD"/>
    <w:rsid w:val="008D562B"/>
    <w:rsid w:val="008D5733"/>
    <w:rsid w:val="008D622B"/>
    <w:rsid w:val="008D666C"/>
    <w:rsid w:val="008D7B54"/>
    <w:rsid w:val="008D7F0B"/>
    <w:rsid w:val="008E0C9D"/>
    <w:rsid w:val="008E0EBE"/>
    <w:rsid w:val="008E1122"/>
    <w:rsid w:val="008E1648"/>
    <w:rsid w:val="008E1B3E"/>
    <w:rsid w:val="008E2319"/>
    <w:rsid w:val="008E3CCF"/>
    <w:rsid w:val="008E4BB6"/>
    <w:rsid w:val="008E5518"/>
    <w:rsid w:val="008E6A84"/>
    <w:rsid w:val="008F0CDC"/>
    <w:rsid w:val="008F17A3"/>
    <w:rsid w:val="008F1ED3"/>
    <w:rsid w:val="008F23A5"/>
    <w:rsid w:val="008F4C29"/>
    <w:rsid w:val="008F70BD"/>
    <w:rsid w:val="008F788F"/>
    <w:rsid w:val="008F78E2"/>
    <w:rsid w:val="008F7EA2"/>
    <w:rsid w:val="00901930"/>
    <w:rsid w:val="00902722"/>
    <w:rsid w:val="009027BC"/>
    <w:rsid w:val="009062E6"/>
    <w:rsid w:val="0090707C"/>
    <w:rsid w:val="0091174F"/>
    <w:rsid w:val="00911BE5"/>
    <w:rsid w:val="00913CA9"/>
    <w:rsid w:val="00913D89"/>
    <w:rsid w:val="009145AE"/>
    <w:rsid w:val="009146CE"/>
    <w:rsid w:val="00914CA7"/>
    <w:rsid w:val="00915C3E"/>
    <w:rsid w:val="009161A8"/>
    <w:rsid w:val="00916F6C"/>
    <w:rsid w:val="00917C68"/>
    <w:rsid w:val="009245F5"/>
    <w:rsid w:val="0092487F"/>
    <w:rsid w:val="009249EC"/>
    <w:rsid w:val="009273B3"/>
    <w:rsid w:val="009305B5"/>
    <w:rsid w:val="0093302F"/>
    <w:rsid w:val="0094251F"/>
    <w:rsid w:val="009429D5"/>
    <w:rsid w:val="00942BEF"/>
    <w:rsid w:val="00942BF1"/>
    <w:rsid w:val="00943EB9"/>
    <w:rsid w:val="00945180"/>
    <w:rsid w:val="00945428"/>
    <w:rsid w:val="0094607B"/>
    <w:rsid w:val="00953417"/>
    <w:rsid w:val="00953604"/>
    <w:rsid w:val="0095496B"/>
    <w:rsid w:val="009558D8"/>
    <w:rsid w:val="00956D72"/>
    <w:rsid w:val="00960C8B"/>
    <w:rsid w:val="009610DC"/>
    <w:rsid w:val="00961490"/>
    <w:rsid w:val="00963066"/>
    <w:rsid w:val="0096381A"/>
    <w:rsid w:val="00963D71"/>
    <w:rsid w:val="00965E04"/>
    <w:rsid w:val="009674AD"/>
    <w:rsid w:val="00970CDC"/>
    <w:rsid w:val="00974D24"/>
    <w:rsid w:val="0097505E"/>
    <w:rsid w:val="009766C7"/>
    <w:rsid w:val="00977010"/>
    <w:rsid w:val="00977D02"/>
    <w:rsid w:val="009809BB"/>
    <w:rsid w:val="009828C1"/>
    <w:rsid w:val="0098364B"/>
    <w:rsid w:val="009902FE"/>
    <w:rsid w:val="009911AF"/>
    <w:rsid w:val="00991875"/>
    <w:rsid w:val="00991F92"/>
    <w:rsid w:val="00992985"/>
    <w:rsid w:val="00993889"/>
    <w:rsid w:val="0099551B"/>
    <w:rsid w:val="00996EFB"/>
    <w:rsid w:val="00997BF1"/>
    <w:rsid w:val="009A089C"/>
    <w:rsid w:val="009A118E"/>
    <w:rsid w:val="009A21CD"/>
    <w:rsid w:val="009A278C"/>
    <w:rsid w:val="009A2BC2"/>
    <w:rsid w:val="009A42C1"/>
    <w:rsid w:val="009A5429"/>
    <w:rsid w:val="009A6926"/>
    <w:rsid w:val="009A6E11"/>
    <w:rsid w:val="009A72AD"/>
    <w:rsid w:val="009B09E0"/>
    <w:rsid w:val="009B0BC5"/>
    <w:rsid w:val="009B1247"/>
    <w:rsid w:val="009B124C"/>
    <w:rsid w:val="009B46B8"/>
    <w:rsid w:val="009B4BB3"/>
    <w:rsid w:val="009B6029"/>
    <w:rsid w:val="009B6971"/>
    <w:rsid w:val="009C27F1"/>
    <w:rsid w:val="009C2B95"/>
    <w:rsid w:val="009C3152"/>
    <w:rsid w:val="009C4CFA"/>
    <w:rsid w:val="009C5070"/>
    <w:rsid w:val="009D112C"/>
    <w:rsid w:val="009D47FA"/>
    <w:rsid w:val="009D4C5B"/>
    <w:rsid w:val="009D50D2"/>
    <w:rsid w:val="009D6BCA"/>
    <w:rsid w:val="009E0F62"/>
    <w:rsid w:val="009E388D"/>
    <w:rsid w:val="009E4A58"/>
    <w:rsid w:val="009E5A2D"/>
    <w:rsid w:val="009E5AB2"/>
    <w:rsid w:val="009E6219"/>
    <w:rsid w:val="009F03B3"/>
    <w:rsid w:val="009F2CA8"/>
    <w:rsid w:val="00A0096C"/>
    <w:rsid w:val="00A01757"/>
    <w:rsid w:val="00A028C0"/>
    <w:rsid w:val="00A02BAE"/>
    <w:rsid w:val="00A06A6B"/>
    <w:rsid w:val="00A07E47"/>
    <w:rsid w:val="00A10693"/>
    <w:rsid w:val="00A129D0"/>
    <w:rsid w:val="00A12C33"/>
    <w:rsid w:val="00A138BA"/>
    <w:rsid w:val="00A13A7F"/>
    <w:rsid w:val="00A14C8E"/>
    <w:rsid w:val="00A153D9"/>
    <w:rsid w:val="00A15F09"/>
    <w:rsid w:val="00A169B6"/>
    <w:rsid w:val="00A2271D"/>
    <w:rsid w:val="00A237D5"/>
    <w:rsid w:val="00A30599"/>
    <w:rsid w:val="00A30EFC"/>
    <w:rsid w:val="00A31484"/>
    <w:rsid w:val="00A31984"/>
    <w:rsid w:val="00A3224E"/>
    <w:rsid w:val="00A32D73"/>
    <w:rsid w:val="00A3367B"/>
    <w:rsid w:val="00A338E2"/>
    <w:rsid w:val="00A3597D"/>
    <w:rsid w:val="00A36DD1"/>
    <w:rsid w:val="00A36EA3"/>
    <w:rsid w:val="00A4006C"/>
    <w:rsid w:val="00A40091"/>
    <w:rsid w:val="00A4030F"/>
    <w:rsid w:val="00A41C79"/>
    <w:rsid w:val="00A41CB5"/>
    <w:rsid w:val="00A42CDF"/>
    <w:rsid w:val="00A4452E"/>
    <w:rsid w:val="00A4472C"/>
    <w:rsid w:val="00A44E69"/>
    <w:rsid w:val="00A45E50"/>
    <w:rsid w:val="00A4661E"/>
    <w:rsid w:val="00A5240E"/>
    <w:rsid w:val="00A52C88"/>
    <w:rsid w:val="00A55BD6"/>
    <w:rsid w:val="00A55D50"/>
    <w:rsid w:val="00A57142"/>
    <w:rsid w:val="00A57C47"/>
    <w:rsid w:val="00A63544"/>
    <w:rsid w:val="00A63D1A"/>
    <w:rsid w:val="00A648CD"/>
    <w:rsid w:val="00A6537A"/>
    <w:rsid w:val="00A65636"/>
    <w:rsid w:val="00A67866"/>
    <w:rsid w:val="00A70B07"/>
    <w:rsid w:val="00A723F8"/>
    <w:rsid w:val="00A77CCB"/>
    <w:rsid w:val="00A83D8D"/>
    <w:rsid w:val="00A84356"/>
    <w:rsid w:val="00A8446B"/>
    <w:rsid w:val="00A8473F"/>
    <w:rsid w:val="00A862D6"/>
    <w:rsid w:val="00A8715E"/>
    <w:rsid w:val="00A90199"/>
    <w:rsid w:val="00A92467"/>
    <w:rsid w:val="00A9295B"/>
    <w:rsid w:val="00A93B09"/>
    <w:rsid w:val="00A94247"/>
    <w:rsid w:val="00A952D7"/>
    <w:rsid w:val="00A95D68"/>
    <w:rsid w:val="00A963F7"/>
    <w:rsid w:val="00A96AD8"/>
    <w:rsid w:val="00AA052C"/>
    <w:rsid w:val="00AA1E45"/>
    <w:rsid w:val="00AA2804"/>
    <w:rsid w:val="00AA4286"/>
    <w:rsid w:val="00AA456B"/>
    <w:rsid w:val="00AA57F5"/>
    <w:rsid w:val="00AA672E"/>
    <w:rsid w:val="00AA6EC9"/>
    <w:rsid w:val="00AB3ADA"/>
    <w:rsid w:val="00AB41D5"/>
    <w:rsid w:val="00AB4FC3"/>
    <w:rsid w:val="00AB6309"/>
    <w:rsid w:val="00AB6C5F"/>
    <w:rsid w:val="00AB7129"/>
    <w:rsid w:val="00AC0471"/>
    <w:rsid w:val="00AC27A6"/>
    <w:rsid w:val="00AC30F7"/>
    <w:rsid w:val="00AC3A5A"/>
    <w:rsid w:val="00AC4D95"/>
    <w:rsid w:val="00AC5134"/>
    <w:rsid w:val="00AC5DF4"/>
    <w:rsid w:val="00AC6A9A"/>
    <w:rsid w:val="00AD0AEF"/>
    <w:rsid w:val="00AD11B7"/>
    <w:rsid w:val="00AD1A94"/>
    <w:rsid w:val="00AD1C05"/>
    <w:rsid w:val="00AD4126"/>
    <w:rsid w:val="00AD421C"/>
    <w:rsid w:val="00AD44FA"/>
    <w:rsid w:val="00AD62C2"/>
    <w:rsid w:val="00AE070A"/>
    <w:rsid w:val="00AE101C"/>
    <w:rsid w:val="00AE37E5"/>
    <w:rsid w:val="00AE5EB4"/>
    <w:rsid w:val="00AF0C18"/>
    <w:rsid w:val="00AF47C5"/>
    <w:rsid w:val="00AF4B10"/>
    <w:rsid w:val="00AF5398"/>
    <w:rsid w:val="00AF639E"/>
    <w:rsid w:val="00B01B1D"/>
    <w:rsid w:val="00B02126"/>
    <w:rsid w:val="00B049AF"/>
    <w:rsid w:val="00B06A8F"/>
    <w:rsid w:val="00B07242"/>
    <w:rsid w:val="00B077AD"/>
    <w:rsid w:val="00B10534"/>
    <w:rsid w:val="00B113DB"/>
    <w:rsid w:val="00B11D8A"/>
    <w:rsid w:val="00B12981"/>
    <w:rsid w:val="00B147DD"/>
    <w:rsid w:val="00B156FD"/>
    <w:rsid w:val="00B16A43"/>
    <w:rsid w:val="00B21F61"/>
    <w:rsid w:val="00B261F1"/>
    <w:rsid w:val="00B265BC"/>
    <w:rsid w:val="00B31FB1"/>
    <w:rsid w:val="00B32037"/>
    <w:rsid w:val="00B33952"/>
    <w:rsid w:val="00B33C5E"/>
    <w:rsid w:val="00B342F4"/>
    <w:rsid w:val="00B34369"/>
    <w:rsid w:val="00B34DC2"/>
    <w:rsid w:val="00B3731C"/>
    <w:rsid w:val="00B378E5"/>
    <w:rsid w:val="00B41E27"/>
    <w:rsid w:val="00B43148"/>
    <w:rsid w:val="00B4346D"/>
    <w:rsid w:val="00B440F4"/>
    <w:rsid w:val="00B447A5"/>
    <w:rsid w:val="00B44F3A"/>
    <w:rsid w:val="00B46077"/>
    <w:rsid w:val="00B4654C"/>
    <w:rsid w:val="00B47293"/>
    <w:rsid w:val="00B50E50"/>
    <w:rsid w:val="00B50E6F"/>
    <w:rsid w:val="00B517EE"/>
    <w:rsid w:val="00B52120"/>
    <w:rsid w:val="00B54ABC"/>
    <w:rsid w:val="00B54DDE"/>
    <w:rsid w:val="00B54FA9"/>
    <w:rsid w:val="00B56FBE"/>
    <w:rsid w:val="00B57AAC"/>
    <w:rsid w:val="00B60ACF"/>
    <w:rsid w:val="00B62B58"/>
    <w:rsid w:val="00B65149"/>
    <w:rsid w:val="00B66567"/>
    <w:rsid w:val="00B66F52"/>
    <w:rsid w:val="00B66FE5"/>
    <w:rsid w:val="00B67C01"/>
    <w:rsid w:val="00B70401"/>
    <w:rsid w:val="00B705F1"/>
    <w:rsid w:val="00B7270F"/>
    <w:rsid w:val="00B72880"/>
    <w:rsid w:val="00B7476F"/>
    <w:rsid w:val="00B758BF"/>
    <w:rsid w:val="00B77EC8"/>
    <w:rsid w:val="00B827A6"/>
    <w:rsid w:val="00B831CE"/>
    <w:rsid w:val="00B86677"/>
    <w:rsid w:val="00B87131"/>
    <w:rsid w:val="00B919DD"/>
    <w:rsid w:val="00B93904"/>
    <w:rsid w:val="00B939B1"/>
    <w:rsid w:val="00B96D40"/>
    <w:rsid w:val="00B97386"/>
    <w:rsid w:val="00BA263B"/>
    <w:rsid w:val="00BA42B2"/>
    <w:rsid w:val="00BA58D4"/>
    <w:rsid w:val="00BA5B9E"/>
    <w:rsid w:val="00BA6F61"/>
    <w:rsid w:val="00BA7C9A"/>
    <w:rsid w:val="00BB5F8F"/>
    <w:rsid w:val="00BB657A"/>
    <w:rsid w:val="00BB678F"/>
    <w:rsid w:val="00BC1A4E"/>
    <w:rsid w:val="00BC5DC7"/>
    <w:rsid w:val="00BC6B8B"/>
    <w:rsid w:val="00BC6F72"/>
    <w:rsid w:val="00BC73D8"/>
    <w:rsid w:val="00BD52D7"/>
    <w:rsid w:val="00BD5AD2"/>
    <w:rsid w:val="00BE22F3"/>
    <w:rsid w:val="00BE3988"/>
    <w:rsid w:val="00BE5B52"/>
    <w:rsid w:val="00BE7B8D"/>
    <w:rsid w:val="00BF0993"/>
    <w:rsid w:val="00BF10A9"/>
    <w:rsid w:val="00BF1703"/>
    <w:rsid w:val="00BF231C"/>
    <w:rsid w:val="00BF51E5"/>
    <w:rsid w:val="00BF552C"/>
    <w:rsid w:val="00BF74A6"/>
    <w:rsid w:val="00C003F7"/>
    <w:rsid w:val="00C013AD"/>
    <w:rsid w:val="00C04904"/>
    <w:rsid w:val="00C056B3"/>
    <w:rsid w:val="00C103E5"/>
    <w:rsid w:val="00C12060"/>
    <w:rsid w:val="00C13319"/>
    <w:rsid w:val="00C13EE9"/>
    <w:rsid w:val="00C206FD"/>
    <w:rsid w:val="00C21540"/>
    <w:rsid w:val="00C21906"/>
    <w:rsid w:val="00C21BFA"/>
    <w:rsid w:val="00C22148"/>
    <w:rsid w:val="00C246C3"/>
    <w:rsid w:val="00C24C8D"/>
    <w:rsid w:val="00C25FE2"/>
    <w:rsid w:val="00C2694B"/>
    <w:rsid w:val="00C26B53"/>
    <w:rsid w:val="00C279B2"/>
    <w:rsid w:val="00C27D8E"/>
    <w:rsid w:val="00C31DA0"/>
    <w:rsid w:val="00C33E50"/>
    <w:rsid w:val="00C34C20"/>
    <w:rsid w:val="00C35A3E"/>
    <w:rsid w:val="00C42130"/>
    <w:rsid w:val="00C423A4"/>
    <w:rsid w:val="00C44BF5"/>
    <w:rsid w:val="00C450E4"/>
    <w:rsid w:val="00C47319"/>
    <w:rsid w:val="00C516FC"/>
    <w:rsid w:val="00C521D6"/>
    <w:rsid w:val="00C55232"/>
    <w:rsid w:val="00C553A4"/>
    <w:rsid w:val="00C55A06"/>
    <w:rsid w:val="00C55D03"/>
    <w:rsid w:val="00C601BC"/>
    <w:rsid w:val="00C6329F"/>
    <w:rsid w:val="00C63340"/>
    <w:rsid w:val="00C643F9"/>
    <w:rsid w:val="00C64E95"/>
    <w:rsid w:val="00C70B05"/>
    <w:rsid w:val="00C71372"/>
    <w:rsid w:val="00C72410"/>
    <w:rsid w:val="00C7287F"/>
    <w:rsid w:val="00C7638E"/>
    <w:rsid w:val="00C77620"/>
    <w:rsid w:val="00C80CB8"/>
    <w:rsid w:val="00C81261"/>
    <w:rsid w:val="00C819F8"/>
    <w:rsid w:val="00C8248C"/>
    <w:rsid w:val="00C84346"/>
    <w:rsid w:val="00C848D8"/>
    <w:rsid w:val="00C84E1E"/>
    <w:rsid w:val="00C84E33"/>
    <w:rsid w:val="00C86D6F"/>
    <w:rsid w:val="00C905FC"/>
    <w:rsid w:val="00C91255"/>
    <w:rsid w:val="00C92D03"/>
    <w:rsid w:val="00C9319C"/>
    <w:rsid w:val="00C9435D"/>
    <w:rsid w:val="00C94DF2"/>
    <w:rsid w:val="00C96741"/>
    <w:rsid w:val="00C97362"/>
    <w:rsid w:val="00CA28C5"/>
    <w:rsid w:val="00CA2D1B"/>
    <w:rsid w:val="00CA367B"/>
    <w:rsid w:val="00CA375D"/>
    <w:rsid w:val="00CA4FE4"/>
    <w:rsid w:val="00CA644B"/>
    <w:rsid w:val="00CA662A"/>
    <w:rsid w:val="00CA7AFD"/>
    <w:rsid w:val="00CA7C3C"/>
    <w:rsid w:val="00CB0189"/>
    <w:rsid w:val="00CB0BA2"/>
    <w:rsid w:val="00CB1A42"/>
    <w:rsid w:val="00CB1B0C"/>
    <w:rsid w:val="00CB2191"/>
    <w:rsid w:val="00CB2C0B"/>
    <w:rsid w:val="00CB517D"/>
    <w:rsid w:val="00CB7ECC"/>
    <w:rsid w:val="00CC038D"/>
    <w:rsid w:val="00CC05BD"/>
    <w:rsid w:val="00CC08DB"/>
    <w:rsid w:val="00CC1355"/>
    <w:rsid w:val="00CC30A9"/>
    <w:rsid w:val="00CC39FF"/>
    <w:rsid w:val="00CC3C2F"/>
    <w:rsid w:val="00CC4AC8"/>
    <w:rsid w:val="00CC5233"/>
    <w:rsid w:val="00CC5DE6"/>
    <w:rsid w:val="00CC60E6"/>
    <w:rsid w:val="00CC6E4E"/>
    <w:rsid w:val="00CC6FE8"/>
    <w:rsid w:val="00CC7202"/>
    <w:rsid w:val="00CD2808"/>
    <w:rsid w:val="00CD28BF"/>
    <w:rsid w:val="00CD4092"/>
    <w:rsid w:val="00CD4A20"/>
    <w:rsid w:val="00CD50A1"/>
    <w:rsid w:val="00CD519E"/>
    <w:rsid w:val="00CD7757"/>
    <w:rsid w:val="00CD7B28"/>
    <w:rsid w:val="00CE0C4F"/>
    <w:rsid w:val="00CE30EA"/>
    <w:rsid w:val="00CE67A2"/>
    <w:rsid w:val="00CF048A"/>
    <w:rsid w:val="00CF155A"/>
    <w:rsid w:val="00CF2947"/>
    <w:rsid w:val="00CF4F43"/>
    <w:rsid w:val="00CF686F"/>
    <w:rsid w:val="00CF6E60"/>
    <w:rsid w:val="00CF7BCA"/>
    <w:rsid w:val="00D008FD"/>
    <w:rsid w:val="00D01D87"/>
    <w:rsid w:val="00D0321C"/>
    <w:rsid w:val="00D035EC"/>
    <w:rsid w:val="00D06724"/>
    <w:rsid w:val="00D06AB1"/>
    <w:rsid w:val="00D072ED"/>
    <w:rsid w:val="00D07A16"/>
    <w:rsid w:val="00D1067E"/>
    <w:rsid w:val="00D10F50"/>
    <w:rsid w:val="00D11272"/>
    <w:rsid w:val="00D126F5"/>
    <w:rsid w:val="00D128ED"/>
    <w:rsid w:val="00D1489E"/>
    <w:rsid w:val="00D149E4"/>
    <w:rsid w:val="00D20737"/>
    <w:rsid w:val="00D21E81"/>
    <w:rsid w:val="00D220B4"/>
    <w:rsid w:val="00D22108"/>
    <w:rsid w:val="00D223DE"/>
    <w:rsid w:val="00D25E37"/>
    <w:rsid w:val="00D2661A"/>
    <w:rsid w:val="00D27582"/>
    <w:rsid w:val="00D27B56"/>
    <w:rsid w:val="00D27EC4"/>
    <w:rsid w:val="00D32719"/>
    <w:rsid w:val="00D33333"/>
    <w:rsid w:val="00D33457"/>
    <w:rsid w:val="00D34486"/>
    <w:rsid w:val="00D352A2"/>
    <w:rsid w:val="00D40870"/>
    <w:rsid w:val="00D4162B"/>
    <w:rsid w:val="00D4514F"/>
    <w:rsid w:val="00D451E2"/>
    <w:rsid w:val="00D45E89"/>
    <w:rsid w:val="00D45E8D"/>
    <w:rsid w:val="00D466AE"/>
    <w:rsid w:val="00D4734F"/>
    <w:rsid w:val="00D51BF3"/>
    <w:rsid w:val="00D60606"/>
    <w:rsid w:val="00D66846"/>
    <w:rsid w:val="00D675FB"/>
    <w:rsid w:val="00D67FAC"/>
    <w:rsid w:val="00D71F25"/>
    <w:rsid w:val="00D72A9C"/>
    <w:rsid w:val="00D72E5E"/>
    <w:rsid w:val="00D77031"/>
    <w:rsid w:val="00D81269"/>
    <w:rsid w:val="00D8411D"/>
    <w:rsid w:val="00D84941"/>
    <w:rsid w:val="00D84FA1"/>
    <w:rsid w:val="00D851F0"/>
    <w:rsid w:val="00D86DB7"/>
    <w:rsid w:val="00D9176D"/>
    <w:rsid w:val="00D926D0"/>
    <w:rsid w:val="00D93030"/>
    <w:rsid w:val="00D950E1"/>
    <w:rsid w:val="00D952A6"/>
    <w:rsid w:val="00D953E7"/>
    <w:rsid w:val="00D9575A"/>
    <w:rsid w:val="00D96717"/>
    <w:rsid w:val="00D97F99"/>
    <w:rsid w:val="00DA1E08"/>
    <w:rsid w:val="00DA24F8"/>
    <w:rsid w:val="00DA28E8"/>
    <w:rsid w:val="00DA38D3"/>
    <w:rsid w:val="00DA3932"/>
    <w:rsid w:val="00DA3AFC"/>
    <w:rsid w:val="00DA4A4F"/>
    <w:rsid w:val="00DA64F8"/>
    <w:rsid w:val="00DA6C15"/>
    <w:rsid w:val="00DA79F0"/>
    <w:rsid w:val="00DB0258"/>
    <w:rsid w:val="00DB38EE"/>
    <w:rsid w:val="00DB498B"/>
    <w:rsid w:val="00DB498F"/>
    <w:rsid w:val="00DB52D0"/>
    <w:rsid w:val="00DB66CA"/>
    <w:rsid w:val="00DB6BCA"/>
    <w:rsid w:val="00DB6E0F"/>
    <w:rsid w:val="00DB73F7"/>
    <w:rsid w:val="00DB7C31"/>
    <w:rsid w:val="00DC0321"/>
    <w:rsid w:val="00DC284F"/>
    <w:rsid w:val="00DC3067"/>
    <w:rsid w:val="00DC370B"/>
    <w:rsid w:val="00DC5B90"/>
    <w:rsid w:val="00DC6542"/>
    <w:rsid w:val="00DC69E7"/>
    <w:rsid w:val="00DD00FF"/>
    <w:rsid w:val="00DD0619"/>
    <w:rsid w:val="00DD07FB"/>
    <w:rsid w:val="00DD1210"/>
    <w:rsid w:val="00DD25C6"/>
    <w:rsid w:val="00DD4FE5"/>
    <w:rsid w:val="00DD54B0"/>
    <w:rsid w:val="00DD57EE"/>
    <w:rsid w:val="00DD6BCC"/>
    <w:rsid w:val="00DE0A4B"/>
    <w:rsid w:val="00DE2005"/>
    <w:rsid w:val="00DE2410"/>
    <w:rsid w:val="00DE2939"/>
    <w:rsid w:val="00DE53B2"/>
    <w:rsid w:val="00DE6C73"/>
    <w:rsid w:val="00DE6E81"/>
    <w:rsid w:val="00DE703F"/>
    <w:rsid w:val="00DE7595"/>
    <w:rsid w:val="00DF1961"/>
    <w:rsid w:val="00DF1A7C"/>
    <w:rsid w:val="00DF44DE"/>
    <w:rsid w:val="00DF5F11"/>
    <w:rsid w:val="00E01138"/>
    <w:rsid w:val="00E02DFB"/>
    <w:rsid w:val="00E030F9"/>
    <w:rsid w:val="00E0311A"/>
    <w:rsid w:val="00E03138"/>
    <w:rsid w:val="00E06404"/>
    <w:rsid w:val="00E11A85"/>
    <w:rsid w:val="00E12495"/>
    <w:rsid w:val="00E132E6"/>
    <w:rsid w:val="00E13846"/>
    <w:rsid w:val="00E14686"/>
    <w:rsid w:val="00E15348"/>
    <w:rsid w:val="00E15CCD"/>
    <w:rsid w:val="00E202EF"/>
    <w:rsid w:val="00E210B5"/>
    <w:rsid w:val="00E22E1C"/>
    <w:rsid w:val="00E23D99"/>
    <w:rsid w:val="00E2552F"/>
    <w:rsid w:val="00E256DB"/>
    <w:rsid w:val="00E27086"/>
    <w:rsid w:val="00E276CB"/>
    <w:rsid w:val="00E30A91"/>
    <w:rsid w:val="00E3133B"/>
    <w:rsid w:val="00E3137A"/>
    <w:rsid w:val="00E32CCF"/>
    <w:rsid w:val="00E34A98"/>
    <w:rsid w:val="00E35D1E"/>
    <w:rsid w:val="00E364F9"/>
    <w:rsid w:val="00E365FA"/>
    <w:rsid w:val="00E36789"/>
    <w:rsid w:val="00E36CAD"/>
    <w:rsid w:val="00E44424"/>
    <w:rsid w:val="00E44A83"/>
    <w:rsid w:val="00E502C1"/>
    <w:rsid w:val="00E502DD"/>
    <w:rsid w:val="00E50D3A"/>
    <w:rsid w:val="00E51387"/>
    <w:rsid w:val="00E51E68"/>
    <w:rsid w:val="00E52EFD"/>
    <w:rsid w:val="00E53FC7"/>
    <w:rsid w:val="00E5408A"/>
    <w:rsid w:val="00E56800"/>
    <w:rsid w:val="00E606B0"/>
    <w:rsid w:val="00E60C63"/>
    <w:rsid w:val="00E61B06"/>
    <w:rsid w:val="00E62FF9"/>
    <w:rsid w:val="00E635D6"/>
    <w:rsid w:val="00E639BC"/>
    <w:rsid w:val="00E664CC"/>
    <w:rsid w:val="00E667A5"/>
    <w:rsid w:val="00E67A54"/>
    <w:rsid w:val="00E70388"/>
    <w:rsid w:val="00E70EC9"/>
    <w:rsid w:val="00E70F92"/>
    <w:rsid w:val="00E71723"/>
    <w:rsid w:val="00E74C54"/>
    <w:rsid w:val="00E75060"/>
    <w:rsid w:val="00E75070"/>
    <w:rsid w:val="00E75C36"/>
    <w:rsid w:val="00E77A03"/>
    <w:rsid w:val="00E77C25"/>
    <w:rsid w:val="00E820C3"/>
    <w:rsid w:val="00E822E8"/>
    <w:rsid w:val="00E82554"/>
    <w:rsid w:val="00E82606"/>
    <w:rsid w:val="00E83659"/>
    <w:rsid w:val="00E846C8"/>
    <w:rsid w:val="00E84957"/>
    <w:rsid w:val="00E84A55"/>
    <w:rsid w:val="00E85BFF"/>
    <w:rsid w:val="00E86FA5"/>
    <w:rsid w:val="00E90391"/>
    <w:rsid w:val="00E906C2"/>
    <w:rsid w:val="00E9311F"/>
    <w:rsid w:val="00E934D1"/>
    <w:rsid w:val="00E94AF0"/>
    <w:rsid w:val="00E95D13"/>
    <w:rsid w:val="00E95DD3"/>
    <w:rsid w:val="00E962C2"/>
    <w:rsid w:val="00E969D5"/>
    <w:rsid w:val="00E97629"/>
    <w:rsid w:val="00EA23BB"/>
    <w:rsid w:val="00EA2CC8"/>
    <w:rsid w:val="00EA420B"/>
    <w:rsid w:val="00EA58D1"/>
    <w:rsid w:val="00EA61BC"/>
    <w:rsid w:val="00EA681A"/>
    <w:rsid w:val="00EA735B"/>
    <w:rsid w:val="00EA73E6"/>
    <w:rsid w:val="00EB17DE"/>
    <w:rsid w:val="00EB1E69"/>
    <w:rsid w:val="00EB2086"/>
    <w:rsid w:val="00EB28ED"/>
    <w:rsid w:val="00EB5EDF"/>
    <w:rsid w:val="00EB60FE"/>
    <w:rsid w:val="00EB74DB"/>
    <w:rsid w:val="00EB7DA6"/>
    <w:rsid w:val="00EC4B2A"/>
    <w:rsid w:val="00EC5359"/>
    <w:rsid w:val="00EC562A"/>
    <w:rsid w:val="00ED067A"/>
    <w:rsid w:val="00ED1ECF"/>
    <w:rsid w:val="00ED2682"/>
    <w:rsid w:val="00ED2B50"/>
    <w:rsid w:val="00ED43EA"/>
    <w:rsid w:val="00ED47A1"/>
    <w:rsid w:val="00EE0350"/>
    <w:rsid w:val="00EE0719"/>
    <w:rsid w:val="00EE094A"/>
    <w:rsid w:val="00EE0E80"/>
    <w:rsid w:val="00EE54A6"/>
    <w:rsid w:val="00EE5774"/>
    <w:rsid w:val="00EE613F"/>
    <w:rsid w:val="00EE6C30"/>
    <w:rsid w:val="00EE7295"/>
    <w:rsid w:val="00EE7869"/>
    <w:rsid w:val="00EF054A"/>
    <w:rsid w:val="00EF3235"/>
    <w:rsid w:val="00EF7E72"/>
    <w:rsid w:val="00F034DD"/>
    <w:rsid w:val="00F04B23"/>
    <w:rsid w:val="00F06D37"/>
    <w:rsid w:val="00F07B9D"/>
    <w:rsid w:val="00F11586"/>
    <w:rsid w:val="00F1183B"/>
    <w:rsid w:val="00F11C9F"/>
    <w:rsid w:val="00F12263"/>
    <w:rsid w:val="00F1409D"/>
    <w:rsid w:val="00F14214"/>
    <w:rsid w:val="00F157A9"/>
    <w:rsid w:val="00F24F3E"/>
    <w:rsid w:val="00F25BB6"/>
    <w:rsid w:val="00F26B7E"/>
    <w:rsid w:val="00F27323"/>
    <w:rsid w:val="00F27A3B"/>
    <w:rsid w:val="00F33817"/>
    <w:rsid w:val="00F34978"/>
    <w:rsid w:val="00F34D3B"/>
    <w:rsid w:val="00F35E76"/>
    <w:rsid w:val="00F370C3"/>
    <w:rsid w:val="00F420D5"/>
    <w:rsid w:val="00F43067"/>
    <w:rsid w:val="00F451EA"/>
    <w:rsid w:val="00F45447"/>
    <w:rsid w:val="00F456C6"/>
    <w:rsid w:val="00F4577B"/>
    <w:rsid w:val="00F45A5D"/>
    <w:rsid w:val="00F45C28"/>
    <w:rsid w:val="00F46496"/>
    <w:rsid w:val="00F474D0"/>
    <w:rsid w:val="00F50179"/>
    <w:rsid w:val="00F515EE"/>
    <w:rsid w:val="00F56511"/>
    <w:rsid w:val="00F56960"/>
    <w:rsid w:val="00F6194E"/>
    <w:rsid w:val="00F623AC"/>
    <w:rsid w:val="00F6412A"/>
    <w:rsid w:val="00F65893"/>
    <w:rsid w:val="00F66A4A"/>
    <w:rsid w:val="00F709B9"/>
    <w:rsid w:val="00F71218"/>
    <w:rsid w:val="00F71E22"/>
    <w:rsid w:val="00F72142"/>
    <w:rsid w:val="00F72AE7"/>
    <w:rsid w:val="00F81141"/>
    <w:rsid w:val="00F833BA"/>
    <w:rsid w:val="00F84FD0"/>
    <w:rsid w:val="00F859A8"/>
    <w:rsid w:val="00F85AD7"/>
    <w:rsid w:val="00F86D87"/>
    <w:rsid w:val="00F9108B"/>
    <w:rsid w:val="00F91349"/>
    <w:rsid w:val="00F93A8A"/>
    <w:rsid w:val="00F9515E"/>
    <w:rsid w:val="00F95248"/>
    <w:rsid w:val="00F956A9"/>
    <w:rsid w:val="00F963ED"/>
    <w:rsid w:val="00F966CF"/>
    <w:rsid w:val="00F96CAE"/>
    <w:rsid w:val="00F97C99"/>
    <w:rsid w:val="00FA041B"/>
    <w:rsid w:val="00FA0BF9"/>
    <w:rsid w:val="00FA4DAC"/>
    <w:rsid w:val="00FA5E3E"/>
    <w:rsid w:val="00FA6212"/>
    <w:rsid w:val="00FA662D"/>
    <w:rsid w:val="00FA702C"/>
    <w:rsid w:val="00FA73B1"/>
    <w:rsid w:val="00FB0CB9"/>
    <w:rsid w:val="00FB231D"/>
    <w:rsid w:val="00FB406D"/>
    <w:rsid w:val="00FB45F1"/>
    <w:rsid w:val="00FB4A72"/>
    <w:rsid w:val="00FB54E8"/>
    <w:rsid w:val="00FB5FEC"/>
    <w:rsid w:val="00FB7054"/>
    <w:rsid w:val="00FC17B7"/>
    <w:rsid w:val="00FC2CB7"/>
    <w:rsid w:val="00FC4090"/>
    <w:rsid w:val="00FC55B4"/>
    <w:rsid w:val="00FD00E6"/>
    <w:rsid w:val="00FD09A1"/>
    <w:rsid w:val="00FD2A7C"/>
    <w:rsid w:val="00FD59EB"/>
    <w:rsid w:val="00FD7299"/>
    <w:rsid w:val="00FE0575"/>
    <w:rsid w:val="00FE12ED"/>
    <w:rsid w:val="00FE1FBE"/>
    <w:rsid w:val="00FE2B54"/>
    <w:rsid w:val="00FE3901"/>
    <w:rsid w:val="00FE39D3"/>
    <w:rsid w:val="00FE3E43"/>
    <w:rsid w:val="00FE4BCE"/>
    <w:rsid w:val="00FE4C3F"/>
    <w:rsid w:val="00FE54AE"/>
    <w:rsid w:val="00FE576A"/>
    <w:rsid w:val="00FE7E79"/>
    <w:rsid w:val="00FF3E7D"/>
    <w:rsid w:val="00FF5B99"/>
    <w:rsid w:val="00FF730C"/>
    <w:rsid w:val="00FF73F4"/>
    <w:rsid w:val="00FF7CE4"/>
    <w:rsid w:val="00FF7E39"/>
    <w:rsid w:val="011537CB"/>
    <w:rsid w:val="11005751"/>
    <w:rsid w:val="11AE74B8"/>
    <w:rsid w:val="1EBF2C04"/>
    <w:rsid w:val="1ECD2B64"/>
    <w:rsid w:val="285E1AB5"/>
    <w:rsid w:val="5036172A"/>
    <w:rsid w:val="58586456"/>
    <w:rsid w:val="6ABC35FE"/>
    <w:rsid w:val="755B7DD5"/>
    <w:rsid w:val="77FF6E11"/>
    <w:rsid w:val="799640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pPr>
      <w:tabs>
        <w:tab w:val="right" w:leader="dot" w:pos="9344"/>
      </w:tabs>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33">
    <w:name w:val="段"/>
    <w:link w:val="234"/>
    <w:autoRedefine/>
    <w:qFormat/>
    <w:uiPriority w:val="0"/>
    <w:pPr>
      <w:tabs>
        <w:tab w:val="center" w:pos="4201"/>
        <w:tab w:val="right" w:leader="dot" w:pos="9298"/>
      </w:tabs>
      <w:autoSpaceDE w:val="0"/>
      <w:autoSpaceDN w:val="0"/>
      <w:ind w:left="3175"/>
    </w:pPr>
    <w:rPr>
      <w:rFonts w:ascii="宋体" w:hAnsi="Times New Roman" w:eastAsia="宋体" w:cs="Times New Roman"/>
      <w:sz w:val="21"/>
      <w:lang w:val="en-US" w:eastAsia="zh-CN" w:bidi="ar-SA"/>
    </w:rPr>
  </w:style>
  <w:style w:type="character" w:customStyle="1" w:styleId="234">
    <w:name w:val="段 Char"/>
    <w:link w:val="233"/>
    <w:autoRedefine/>
    <w:qFormat/>
    <w:uiPriority w:val="0"/>
    <w:rPr>
      <w:rFonts w:ascii="宋体" w:hAnsi="Times New Roman"/>
      <w:sz w:val="21"/>
    </w:rPr>
  </w:style>
  <w:style w:type="paragraph" w:customStyle="1" w:styleId="235">
    <w:name w:val="附录图标题"/>
    <w:basedOn w:val="1"/>
    <w:next w:val="233"/>
    <w:autoRedefine/>
    <w:qFormat/>
    <w:uiPriority w:val="0"/>
    <w:pPr>
      <w:numPr>
        <w:ilvl w:val="1"/>
        <w:numId w:val="32"/>
      </w:numPr>
      <w:tabs>
        <w:tab w:val="left" w:pos="363"/>
      </w:tabs>
      <w:adjustRightInd/>
      <w:spacing w:beforeLines="50" w:afterLines="50" w:line="240" w:lineRule="auto"/>
      <w:ind w:left="0" w:firstLine="0"/>
      <w:jc w:val="center"/>
    </w:pPr>
    <w:rPr>
      <w:rFonts w:ascii="黑体" w:hAnsi="Times New Roman" w:eastAsia="黑体"/>
    </w:rPr>
  </w:style>
  <w:style w:type="paragraph" w:customStyle="1" w:styleId="236">
    <w:name w:val="附录图标号"/>
    <w:basedOn w:val="1"/>
    <w:autoRedefine/>
    <w:qFormat/>
    <w:uiPriority w:val="0"/>
    <w:pPr>
      <w:keepNext/>
      <w:pageBreakBefore/>
      <w:widowControl/>
      <w:numPr>
        <w:ilvl w:val="0"/>
        <w:numId w:val="32"/>
      </w:numPr>
      <w:adjustRightInd/>
      <w:spacing w:line="14" w:lineRule="exact"/>
      <w:ind w:left="0" w:firstLine="363"/>
      <w:jc w:val="center"/>
      <w:outlineLvl w:val="0"/>
    </w:pPr>
    <w:rPr>
      <w:rFonts w:ascii="Times New Roman" w:hAnsi="Times New Roman"/>
      <w:color w:val="FFFFFF"/>
      <w:szCs w:val="24"/>
    </w:rPr>
  </w:style>
  <w:style w:type="paragraph" w:customStyle="1" w:styleId="237">
    <w:name w:val="附录四级条标题"/>
    <w:basedOn w:val="238"/>
    <w:next w:val="233"/>
    <w:autoRedefine/>
    <w:qFormat/>
    <w:uiPriority w:val="0"/>
    <w:pPr>
      <w:tabs>
        <w:tab w:val="left" w:pos="360"/>
      </w:tabs>
      <w:outlineLvl w:val="5"/>
    </w:pPr>
  </w:style>
  <w:style w:type="paragraph" w:customStyle="1" w:styleId="238">
    <w:name w:val="附录三级条标题"/>
    <w:basedOn w:val="239"/>
    <w:next w:val="233"/>
    <w:autoRedefine/>
    <w:qFormat/>
    <w:uiPriority w:val="0"/>
    <w:pPr>
      <w:tabs>
        <w:tab w:val="left" w:pos="360"/>
      </w:tabs>
      <w:ind w:left="0"/>
      <w:outlineLvl w:val="4"/>
    </w:pPr>
  </w:style>
  <w:style w:type="paragraph" w:customStyle="1" w:styleId="239">
    <w:name w:val="附录二级条标题"/>
    <w:basedOn w:val="1"/>
    <w:next w:val="233"/>
    <w:autoRedefine/>
    <w:qFormat/>
    <w:uiPriority w:val="0"/>
    <w:pPr>
      <w:widowControl/>
      <w:tabs>
        <w:tab w:val="left" w:pos="360"/>
      </w:tabs>
      <w:wordWrap w:val="0"/>
      <w:overflowPunct w:val="0"/>
      <w:autoSpaceDE w:val="0"/>
      <w:autoSpaceDN w:val="0"/>
      <w:adjustRightInd/>
      <w:spacing w:beforeLines="50" w:afterLines="50" w:line="240" w:lineRule="auto"/>
      <w:ind w:left="993"/>
      <w:textAlignment w:val="baseline"/>
      <w:outlineLvl w:val="3"/>
    </w:pPr>
    <w:rPr>
      <w:rFonts w:ascii="黑体" w:hAnsi="Times New Roman" w:eastAsia="黑体"/>
      <w:kern w:val="21"/>
      <w:szCs w:val="20"/>
    </w:rPr>
  </w:style>
  <w:style w:type="paragraph" w:customStyle="1" w:styleId="240">
    <w:name w:val="附录章标题"/>
    <w:next w:val="233"/>
    <w:autoRedefine/>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1">
    <w:name w:val="附录一级条标题"/>
    <w:basedOn w:val="240"/>
    <w:next w:val="233"/>
    <w:autoRedefine/>
    <w:qFormat/>
    <w:uiPriority w:val="0"/>
    <w:pPr>
      <w:autoSpaceDN w:val="0"/>
      <w:spacing w:beforeLines="50" w:afterLines="50"/>
      <w:outlineLvl w:val="2"/>
    </w:pPr>
  </w:style>
  <w:style w:type="paragraph" w:customStyle="1" w:styleId="242">
    <w:name w:val="附录A"/>
    <w:basedOn w:val="1"/>
    <w:autoRedefine/>
    <w:qFormat/>
    <w:uiPriority w:val="0"/>
    <w:pPr>
      <w:pageBreakBefore/>
      <w:adjustRightInd/>
      <w:spacing w:beforeLines="100" w:afterLines="100"/>
      <w:outlineLvl w:val="0"/>
    </w:pPr>
    <w:rPr>
      <w:rFonts w:ascii="Times New Roman" w:hAnsi="Times New Roman"/>
      <w:b/>
      <w:sz w:val="36"/>
      <w:szCs w:val="36"/>
    </w:rPr>
  </w:style>
  <w:style w:type="paragraph" w:customStyle="1" w:styleId="243">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jpeg"/><Relationship Id="rId17" Type="http://schemas.openxmlformats.org/officeDocument/2006/relationships/image" Target="media/image6.emf"/><Relationship Id="rId16" Type="http://schemas.microsoft.com/office/2007/relationships/hdphoto" Target="media/image5.wdp"/><Relationship Id="rId15" Type="http://schemas.openxmlformats.org/officeDocument/2006/relationships/image" Target="media/image4.png"/><Relationship Id="rId14" Type="http://schemas.microsoft.com/office/2007/relationships/hdphoto" Target="media/image3.wdp"/><Relationship Id="rId13" Type="http://schemas.openxmlformats.org/officeDocument/2006/relationships/image" Target="media/image2.png"/><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21382BEB6334716A3C4C81BC1FFB301"/>
        <w:style w:val=""/>
        <w:category>
          <w:name w:val="常规"/>
          <w:gallery w:val="placeholder"/>
        </w:category>
        <w:types>
          <w:type w:val="bbPlcHdr"/>
        </w:types>
        <w:behaviors>
          <w:behavior w:val="content"/>
        </w:behaviors>
        <w:description w:val=""/>
        <w:guid w:val="{8A268A8B-AADC-4170-A6F6-AD4F2FD9B215}"/>
      </w:docPartPr>
      <w:docPartBody>
        <w:p w14:paraId="2452EA92">
          <w:pPr>
            <w:pStyle w:val="5"/>
          </w:pPr>
          <w:r>
            <w:rPr>
              <w:rStyle w:val="4"/>
              <w:rFonts w:hint="eastAsia"/>
            </w:rPr>
            <w:t>单击或点击此处输入文字。</w:t>
          </w:r>
        </w:p>
      </w:docPartBody>
    </w:docPart>
    <w:docPart>
      <w:docPartPr>
        <w:name w:val="2210F4A9D9514149AC47FA0AB2C24B49"/>
        <w:style w:val=""/>
        <w:category>
          <w:name w:val="常规"/>
          <w:gallery w:val="placeholder"/>
        </w:category>
        <w:types>
          <w:type w:val="bbPlcHdr"/>
        </w:types>
        <w:behaviors>
          <w:behavior w:val="content"/>
        </w:behaviors>
        <w:description w:val=""/>
        <w:guid w:val="{D2027BD7-8BA1-446D-B135-4E99C2180F1B}"/>
      </w:docPartPr>
      <w:docPartBody>
        <w:p w14:paraId="230F33D8">
          <w:pPr>
            <w:pStyle w:val="6"/>
          </w:pPr>
          <w:r>
            <w:rPr>
              <w:rStyle w:val="4"/>
              <w:rFonts w:hint="eastAsia"/>
            </w:rPr>
            <w:t>选择一项。</w:t>
          </w:r>
        </w:p>
      </w:docPartBody>
    </w:docPart>
    <w:docPart>
      <w:docPartPr>
        <w:name w:val="B6C04ECD658C4D36A0E55EFDD044BECF"/>
        <w:style w:val=""/>
        <w:category>
          <w:name w:val="常规"/>
          <w:gallery w:val="placeholder"/>
        </w:category>
        <w:types>
          <w:type w:val="bbPlcHdr"/>
        </w:types>
        <w:behaviors>
          <w:behavior w:val="content"/>
        </w:behaviors>
        <w:description w:val=""/>
        <w:guid w:val="{2E546DE0-DB33-424F-B8E4-D5B81816561E}"/>
      </w:docPartPr>
      <w:docPartBody>
        <w:p w14:paraId="02E976F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3E5AE9"/>
    <w:rsid w:val="0000080E"/>
    <w:rsid w:val="000365B7"/>
    <w:rsid w:val="000409E6"/>
    <w:rsid w:val="00071EA2"/>
    <w:rsid w:val="000E6064"/>
    <w:rsid w:val="000E6696"/>
    <w:rsid w:val="000E6789"/>
    <w:rsid w:val="001068B5"/>
    <w:rsid w:val="00134AB7"/>
    <w:rsid w:val="001365C8"/>
    <w:rsid w:val="00160969"/>
    <w:rsid w:val="001925AF"/>
    <w:rsid w:val="00194C14"/>
    <w:rsid w:val="001A278B"/>
    <w:rsid w:val="001C35B1"/>
    <w:rsid w:val="001E2789"/>
    <w:rsid w:val="001F1E4C"/>
    <w:rsid w:val="001F5860"/>
    <w:rsid w:val="002174A1"/>
    <w:rsid w:val="00224629"/>
    <w:rsid w:val="002775F4"/>
    <w:rsid w:val="002964A9"/>
    <w:rsid w:val="002A4EB3"/>
    <w:rsid w:val="002B4479"/>
    <w:rsid w:val="00301E75"/>
    <w:rsid w:val="00323CA7"/>
    <w:rsid w:val="003416EF"/>
    <w:rsid w:val="003E5AE9"/>
    <w:rsid w:val="00411450"/>
    <w:rsid w:val="004A3D1E"/>
    <w:rsid w:val="004B0CF5"/>
    <w:rsid w:val="004F75A9"/>
    <w:rsid w:val="00543A75"/>
    <w:rsid w:val="005A6A5C"/>
    <w:rsid w:val="005C41D1"/>
    <w:rsid w:val="0060308B"/>
    <w:rsid w:val="006F1957"/>
    <w:rsid w:val="00781805"/>
    <w:rsid w:val="00784E49"/>
    <w:rsid w:val="0078706E"/>
    <w:rsid w:val="007E1C92"/>
    <w:rsid w:val="007F3B97"/>
    <w:rsid w:val="00804EC7"/>
    <w:rsid w:val="008067C0"/>
    <w:rsid w:val="00823A3D"/>
    <w:rsid w:val="00924FE0"/>
    <w:rsid w:val="00963D71"/>
    <w:rsid w:val="00980392"/>
    <w:rsid w:val="009942F7"/>
    <w:rsid w:val="009A1A5F"/>
    <w:rsid w:val="009E2F6C"/>
    <w:rsid w:val="00A13A7F"/>
    <w:rsid w:val="00A20B47"/>
    <w:rsid w:val="00A5240E"/>
    <w:rsid w:val="00A7514D"/>
    <w:rsid w:val="00AB4EE6"/>
    <w:rsid w:val="00AC0471"/>
    <w:rsid w:val="00AE3ED2"/>
    <w:rsid w:val="00B0693F"/>
    <w:rsid w:val="00B077AD"/>
    <w:rsid w:val="00B24745"/>
    <w:rsid w:val="00B330BD"/>
    <w:rsid w:val="00B66811"/>
    <w:rsid w:val="00B8639D"/>
    <w:rsid w:val="00B92EEF"/>
    <w:rsid w:val="00B961D1"/>
    <w:rsid w:val="00BA17F7"/>
    <w:rsid w:val="00BB5C2D"/>
    <w:rsid w:val="00BB678F"/>
    <w:rsid w:val="00C51880"/>
    <w:rsid w:val="00C70B05"/>
    <w:rsid w:val="00C85B96"/>
    <w:rsid w:val="00C97E2E"/>
    <w:rsid w:val="00CB7ECC"/>
    <w:rsid w:val="00D706B0"/>
    <w:rsid w:val="00D72E5E"/>
    <w:rsid w:val="00E0725E"/>
    <w:rsid w:val="00E07F17"/>
    <w:rsid w:val="00E14B4F"/>
    <w:rsid w:val="00E22E1C"/>
    <w:rsid w:val="00E512B8"/>
    <w:rsid w:val="00E732CB"/>
    <w:rsid w:val="00EC4E23"/>
    <w:rsid w:val="00F12308"/>
    <w:rsid w:val="00F27BC2"/>
    <w:rsid w:val="00F555A7"/>
    <w:rsid w:val="00F8156B"/>
    <w:rsid w:val="00FB29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21382BEB6334716A3C4C81BC1FFB3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AE7FAA-8B49-402B-8225-5683863CC22D}">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2277</Words>
  <Characters>2981</Characters>
  <Lines>109</Lines>
  <Paragraphs>30</Paragraphs>
  <TotalTime>225</TotalTime>
  <ScaleCrop>false</ScaleCrop>
  <LinksUpToDate>false</LinksUpToDate>
  <CharactersWithSpaces>3182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2025-04-08T05:56:00Z</dcterms:created>
  <dc:creator>李琰</dc:creator>
  <cp:lastModifiedBy>LHT</cp:lastModifiedBy>
  <cp:lastPrinted>2025-04-08T06:03:00Z</cp:lastPrinted>
  <dcterms:modified xsi:type="dcterms:W3CDTF">2025-07-30T08:10:33Z</dcterms:modified>
  <dc:title>地方标准</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E3D445A94ACE4C38B66C1CF50BAE99E6_13</vt:lpwstr>
  </property>
  <property fmtid="{D5CDD505-2E9C-101B-9397-08002B2CF9AE}" pid="16" name="KSOTemplateDocerSaveRecord">
    <vt:lpwstr>eyJoZGlkIjoiOTU1MTBkMTFmNDU3Mzc2MDBmOGJkODk1MmI2M2M3MmYiLCJ1c2VySWQiOiIxNjE3NDI3MDYyIn0=</vt:lpwstr>
  </property>
</Properties>
</file>